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FE7781"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466944">
      <w:pPr>
        <w:numPr>
          <w:ilvl w:val="0"/>
          <w:numId w:val="2"/>
        </w:numPr>
        <w:overflowPunct/>
        <w:autoSpaceDE/>
        <w:autoSpaceDN/>
        <w:adjustRightInd/>
        <w:spacing w:beforeLines="60" w:before="144" w:afterLines="60" w:after="144"/>
        <w:ind w:hanging="357"/>
        <w:jc w:val="both"/>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6A959FC4" w:rsidR="00BB7846" w:rsidRDefault="00B70DAB" w:rsidP="00466944">
      <w:pPr>
        <w:pStyle w:val="Prrafodelista"/>
        <w:numPr>
          <w:ilvl w:val="1"/>
          <w:numId w:val="2"/>
        </w:numPr>
        <w:spacing w:beforeLines="60" w:before="144" w:afterLines="60" w:after="144"/>
        <w:ind w:hanging="357"/>
        <w:contextualSpacing w:val="0"/>
        <w:jc w:val="both"/>
        <w:rPr>
          <w:rFonts w:cs="Arial"/>
          <w:color w:val="000000"/>
          <w:kern w:val="0"/>
          <w:lang w:val="es-MX" w:eastAsia="es-MX"/>
        </w:rPr>
      </w:pPr>
      <w:r w:rsidRPr="00B70DAB">
        <w:rPr>
          <w:rFonts w:cs="Arial"/>
          <w:color w:val="000000"/>
          <w:kern w:val="0"/>
          <w:lang w:val="es-MX" w:eastAsia="es-MX"/>
        </w:rPr>
        <w:t>Establecer los lineamientos para la gestión de respaldos de la información en la Organización, de manera que se protejan los datos y software de la empresa, así como los dispositivos de hardware que la soportan, almacenan y distribuyen.</w:t>
      </w:r>
    </w:p>
    <w:p w14:paraId="05A3B911" w14:textId="77777777" w:rsidR="00B70DAB" w:rsidRPr="00B70DAB" w:rsidRDefault="00B70DAB" w:rsidP="00466944">
      <w:pPr>
        <w:pStyle w:val="Prrafodelista"/>
        <w:ind w:left="1080"/>
        <w:jc w:val="both"/>
        <w:rPr>
          <w:rFonts w:cs="Arial"/>
          <w:color w:val="000000"/>
          <w:kern w:val="0"/>
          <w:lang w:val="es-MX" w:eastAsia="es-MX"/>
        </w:rPr>
      </w:pPr>
    </w:p>
    <w:p w14:paraId="18AB005A" w14:textId="77777777" w:rsidR="001E29EA" w:rsidRDefault="00BB7846" w:rsidP="00466944">
      <w:pPr>
        <w:numPr>
          <w:ilvl w:val="0"/>
          <w:numId w:val="2"/>
        </w:numPr>
        <w:overflowPunct/>
        <w:autoSpaceDE/>
        <w:autoSpaceDN/>
        <w:adjustRightInd/>
        <w:spacing w:beforeLines="60" w:before="144" w:afterLines="60" w:after="144"/>
        <w:ind w:hanging="357"/>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4326CAD1" w14:textId="7DC35A65" w:rsidR="00D06FE0" w:rsidRPr="00D06FE0" w:rsidRDefault="00D06FE0" w:rsidP="00466944">
      <w:pPr>
        <w:numPr>
          <w:ilvl w:val="1"/>
          <w:numId w:val="2"/>
        </w:numPr>
        <w:overflowPunct/>
        <w:autoSpaceDE/>
        <w:autoSpaceDN/>
        <w:adjustRightInd/>
        <w:spacing w:beforeLines="60" w:before="144" w:afterLines="60" w:after="144"/>
        <w:ind w:hanging="357"/>
        <w:jc w:val="both"/>
        <w:textAlignment w:val="auto"/>
        <w:rPr>
          <w:rFonts w:cs="Arial"/>
          <w:lang w:val="es-MX"/>
        </w:rPr>
      </w:pPr>
      <w:r w:rsidRPr="00D06FE0">
        <w:rPr>
          <w:rFonts w:cs="Arial"/>
          <w:lang w:val="es-MX"/>
        </w:rPr>
        <w:t>Esta política aplica a toda la información electrónica contenida en los servidores centrales, estaciones de trabajo y equipos de comunicación.</w:t>
      </w:r>
    </w:p>
    <w:p w14:paraId="4C674AF1" w14:textId="1FE6593B" w:rsidR="00D06FE0" w:rsidRDefault="00D06FE0" w:rsidP="00466944">
      <w:pPr>
        <w:numPr>
          <w:ilvl w:val="1"/>
          <w:numId w:val="2"/>
        </w:numPr>
        <w:overflowPunct/>
        <w:autoSpaceDE/>
        <w:autoSpaceDN/>
        <w:adjustRightInd/>
        <w:spacing w:beforeLines="60" w:before="144" w:afterLines="60" w:after="144"/>
        <w:ind w:hanging="357"/>
        <w:jc w:val="both"/>
        <w:textAlignment w:val="auto"/>
        <w:rPr>
          <w:rFonts w:cs="Arial"/>
          <w:lang w:val="es-MX"/>
        </w:rPr>
      </w:pPr>
      <w:r w:rsidRPr="00D06FE0">
        <w:rPr>
          <w:rFonts w:cs="Arial"/>
          <w:lang w:val="es-MX"/>
        </w:rPr>
        <w:t>Está acotada a los sistemas mantenidos en el centro de datos, lo que incluye sistemas operativos, bases de datos y repositorios compartidos.</w:t>
      </w:r>
    </w:p>
    <w:p w14:paraId="29FB1DB1" w14:textId="77777777" w:rsidR="00D06FE0" w:rsidRPr="00D06FE0" w:rsidRDefault="00D06FE0" w:rsidP="00466944">
      <w:pPr>
        <w:pStyle w:val="Prrafodelista"/>
        <w:ind w:left="1080"/>
        <w:jc w:val="both"/>
        <w:rPr>
          <w:rFonts w:cs="Arial"/>
          <w:lang w:val="es-MX"/>
        </w:rPr>
      </w:pPr>
    </w:p>
    <w:p w14:paraId="20A15F51" w14:textId="77777777" w:rsidR="00BD7A76" w:rsidRPr="00BD7A76" w:rsidRDefault="00BD7A76" w:rsidP="00466944">
      <w:pPr>
        <w:pStyle w:val="Encabezado"/>
        <w:numPr>
          <w:ilvl w:val="0"/>
          <w:numId w:val="2"/>
        </w:numPr>
        <w:tabs>
          <w:tab w:val="clear" w:pos="4320"/>
          <w:tab w:val="clear" w:pos="8640"/>
        </w:tabs>
        <w:spacing w:beforeLines="50" w:before="120" w:afterLines="50" w:after="120"/>
        <w:jc w:val="both"/>
        <w:rPr>
          <w:rFonts w:cs="Arial"/>
          <w:b/>
          <w:bCs/>
          <w:lang w:val="es-MX"/>
        </w:rPr>
      </w:pPr>
      <w:r w:rsidRPr="00BD7A76">
        <w:rPr>
          <w:rFonts w:cs="Arial"/>
          <w:b/>
          <w:bCs/>
          <w:sz w:val="22"/>
          <w:lang w:val="es-MX"/>
        </w:rPr>
        <w:t>Políticas</w:t>
      </w:r>
    </w:p>
    <w:p w14:paraId="3B74B5F7" w14:textId="10B0401E" w:rsidR="008726ED" w:rsidRPr="00CA7845" w:rsidRDefault="00CC518F" w:rsidP="00466944">
      <w:pPr>
        <w:numPr>
          <w:ilvl w:val="1"/>
          <w:numId w:val="2"/>
        </w:numPr>
        <w:overflowPunct/>
        <w:autoSpaceDE/>
        <w:autoSpaceDN/>
        <w:adjustRightInd/>
        <w:spacing w:before="100" w:beforeAutospacing="1" w:after="240"/>
        <w:jc w:val="both"/>
        <w:textAlignment w:val="auto"/>
        <w:rPr>
          <w:lang w:val="es-MX"/>
        </w:rPr>
      </w:pPr>
      <w:r>
        <w:rPr>
          <w:b/>
          <w:lang w:val="es-MX"/>
        </w:rPr>
        <w:t>Roles y Responsabilidades.</w:t>
      </w:r>
    </w:p>
    <w:p w14:paraId="52F4EA5E" w14:textId="250B2539" w:rsidR="00F51A0B" w:rsidRPr="00F51A0B" w:rsidRDefault="00F51A0B" w:rsidP="00466944">
      <w:pPr>
        <w:numPr>
          <w:ilvl w:val="2"/>
          <w:numId w:val="2"/>
        </w:numPr>
        <w:overflowPunct/>
        <w:autoSpaceDE/>
        <w:autoSpaceDN/>
        <w:adjustRightInd/>
        <w:spacing w:before="80" w:after="80"/>
        <w:ind w:left="1797"/>
        <w:jc w:val="both"/>
        <w:textAlignment w:val="auto"/>
        <w:rPr>
          <w:lang w:val="es-MX"/>
        </w:rPr>
      </w:pPr>
      <w:r w:rsidRPr="00F51A0B">
        <w:rPr>
          <w:lang w:val="es-MX"/>
        </w:rPr>
        <w:t>Es responsabilidad del Gerente de TI autorizar la metodología estándar y los procesos de respaldo para todas las aplicaciones, así como aprobar las solicitudes de respaldos especiales.</w:t>
      </w:r>
    </w:p>
    <w:p w14:paraId="7CE7E40D" w14:textId="1CC463DC" w:rsidR="00F51A0B" w:rsidRPr="00F51A0B" w:rsidRDefault="00F51A0B" w:rsidP="00466944">
      <w:pPr>
        <w:numPr>
          <w:ilvl w:val="2"/>
          <w:numId w:val="2"/>
        </w:numPr>
        <w:overflowPunct/>
        <w:autoSpaceDE/>
        <w:autoSpaceDN/>
        <w:adjustRightInd/>
        <w:spacing w:before="80" w:after="80"/>
        <w:ind w:left="1797"/>
        <w:jc w:val="both"/>
        <w:textAlignment w:val="auto"/>
        <w:rPr>
          <w:lang w:val="es-MX"/>
        </w:rPr>
      </w:pPr>
      <w:r w:rsidRPr="00F51A0B">
        <w:rPr>
          <w:lang w:val="es-MX"/>
        </w:rPr>
        <w:t xml:space="preserve">El Gerente de Infraestructura es responsable de generar los planes de respaldo, coordinar, ejecutar y probar en intervalos de tiempos los respaldos de información. </w:t>
      </w:r>
    </w:p>
    <w:p w14:paraId="0A4094A4" w14:textId="254620B6" w:rsidR="00F51A0B" w:rsidRPr="00F51A0B" w:rsidRDefault="00F51A0B" w:rsidP="00466944">
      <w:pPr>
        <w:numPr>
          <w:ilvl w:val="2"/>
          <w:numId w:val="2"/>
        </w:numPr>
        <w:overflowPunct/>
        <w:autoSpaceDE/>
        <w:autoSpaceDN/>
        <w:adjustRightInd/>
        <w:spacing w:before="80" w:after="80"/>
        <w:ind w:left="1797"/>
        <w:jc w:val="both"/>
        <w:textAlignment w:val="auto"/>
        <w:rPr>
          <w:lang w:val="es-MX"/>
        </w:rPr>
      </w:pPr>
      <w:r w:rsidRPr="00F51A0B">
        <w:rPr>
          <w:lang w:val="es-MX"/>
        </w:rPr>
        <w:t>El Gerente de Infraestructura deberá definir el tipo de periodicidad que se utilizará para la realización de los respaldos de cada aplicación y/o plataforma de servicios</w:t>
      </w:r>
      <w:r>
        <w:rPr>
          <w:lang w:val="es-MX"/>
        </w:rPr>
        <w:t>.</w:t>
      </w:r>
    </w:p>
    <w:p w14:paraId="2885EDF4" w14:textId="7198B917" w:rsidR="00F51A0B" w:rsidRPr="00F51A0B" w:rsidRDefault="00F51A0B" w:rsidP="00466944">
      <w:pPr>
        <w:numPr>
          <w:ilvl w:val="2"/>
          <w:numId w:val="2"/>
        </w:numPr>
        <w:overflowPunct/>
        <w:autoSpaceDE/>
        <w:autoSpaceDN/>
        <w:adjustRightInd/>
        <w:spacing w:before="80" w:after="80"/>
        <w:ind w:left="1797"/>
        <w:jc w:val="both"/>
        <w:textAlignment w:val="auto"/>
        <w:rPr>
          <w:lang w:val="es-MX"/>
        </w:rPr>
      </w:pPr>
      <w:r w:rsidRPr="00F51A0B">
        <w:rPr>
          <w:lang w:val="es-MX"/>
        </w:rPr>
        <w:t>El Gerente de Infraestructura deberá llevar un registro de los respaldos y pruebas realizadas.</w:t>
      </w:r>
    </w:p>
    <w:p w14:paraId="5550BE78" w14:textId="5A34E562" w:rsidR="00F51A0B" w:rsidRPr="00F51A0B" w:rsidRDefault="00F51A0B" w:rsidP="00466944">
      <w:pPr>
        <w:numPr>
          <w:ilvl w:val="2"/>
          <w:numId w:val="2"/>
        </w:numPr>
        <w:overflowPunct/>
        <w:autoSpaceDE/>
        <w:autoSpaceDN/>
        <w:adjustRightInd/>
        <w:spacing w:before="80" w:after="80"/>
        <w:ind w:left="1797"/>
        <w:jc w:val="both"/>
        <w:textAlignment w:val="auto"/>
        <w:rPr>
          <w:lang w:val="es-MX"/>
        </w:rPr>
      </w:pPr>
      <w:r w:rsidRPr="00F51A0B">
        <w:rPr>
          <w:lang w:val="es-MX"/>
        </w:rPr>
        <w:t>Es responsabilidad del usuario solicitar a la Gerencia de Infraestructura la realización de respaldos y/o restauración de archivos electrónicos, cuando no entre en los respaldos generales realizados por el área de TI.</w:t>
      </w:r>
    </w:p>
    <w:p w14:paraId="64BE0876" w14:textId="77777777" w:rsidR="005C3832" w:rsidRDefault="00F51A0B" w:rsidP="00466944">
      <w:pPr>
        <w:numPr>
          <w:ilvl w:val="2"/>
          <w:numId w:val="2"/>
        </w:numPr>
        <w:overflowPunct/>
        <w:autoSpaceDE/>
        <w:autoSpaceDN/>
        <w:adjustRightInd/>
        <w:spacing w:before="80" w:after="80"/>
        <w:ind w:left="1797"/>
        <w:jc w:val="both"/>
        <w:textAlignment w:val="auto"/>
        <w:rPr>
          <w:lang w:val="es-MX"/>
        </w:rPr>
      </w:pPr>
      <w:r w:rsidRPr="00F51A0B">
        <w:rPr>
          <w:lang w:val="es-MX"/>
        </w:rPr>
        <w:t>El usuario es responsable de realizar el debido resguardo de la información contenida en el equipo asignado por medio de la nube institucional (OneDrive).</w:t>
      </w:r>
    </w:p>
    <w:p w14:paraId="4883A1A5" w14:textId="5DDC3A86" w:rsidR="005C3832" w:rsidRPr="005C3832" w:rsidRDefault="00F51A0B" w:rsidP="00466944">
      <w:pPr>
        <w:pStyle w:val="Prrafodelista"/>
        <w:ind w:left="1080"/>
        <w:jc w:val="both"/>
        <w:rPr>
          <w:lang w:val="es-MX"/>
        </w:rPr>
      </w:pPr>
      <w:r w:rsidRPr="005C3832">
        <w:rPr>
          <w:lang w:val="es-MX"/>
        </w:rPr>
        <w:tab/>
      </w:r>
    </w:p>
    <w:p w14:paraId="62B71DB3" w14:textId="0E4EC07B" w:rsidR="00F61F05" w:rsidRDefault="005C3832" w:rsidP="00466944">
      <w:pPr>
        <w:numPr>
          <w:ilvl w:val="1"/>
          <w:numId w:val="2"/>
        </w:numPr>
        <w:overflowPunct/>
        <w:autoSpaceDE/>
        <w:autoSpaceDN/>
        <w:adjustRightInd/>
        <w:spacing w:before="100" w:beforeAutospacing="1" w:after="240"/>
        <w:jc w:val="both"/>
        <w:textAlignment w:val="auto"/>
        <w:rPr>
          <w:b/>
          <w:bCs/>
          <w:lang w:val="es-MX"/>
        </w:rPr>
      </w:pPr>
      <w:r w:rsidRPr="005C3832">
        <w:rPr>
          <w:b/>
          <w:bCs/>
          <w:lang w:val="es-MX"/>
        </w:rPr>
        <w:t>Listado de herramientas y sistemas sujetos de respaldos</w:t>
      </w:r>
    </w:p>
    <w:p w14:paraId="37ECD24E" w14:textId="77777777" w:rsidR="000D3BE0" w:rsidRDefault="000D3BE0" w:rsidP="00466944">
      <w:pPr>
        <w:pStyle w:val="Prrafodelista"/>
        <w:numPr>
          <w:ilvl w:val="2"/>
          <w:numId w:val="2"/>
        </w:numPr>
        <w:jc w:val="both"/>
        <w:rPr>
          <w:lang w:val="es-MX"/>
        </w:rPr>
      </w:pPr>
      <w:r w:rsidRPr="000D3BE0">
        <w:rPr>
          <w:lang w:val="es-MX"/>
        </w:rPr>
        <w:t>Se deberán respaldar todos los servidores y repositorios hospedados en la infraestructura de virtualización, los cuales se indican en el Anexo 1. Listado de sistemas con respaldo.</w:t>
      </w:r>
    </w:p>
    <w:p w14:paraId="5F789FB0" w14:textId="77777777" w:rsidR="000D3BE0" w:rsidRPr="000D3BE0" w:rsidRDefault="000D3BE0" w:rsidP="00466944">
      <w:pPr>
        <w:pStyle w:val="Prrafodelista"/>
        <w:ind w:left="1800"/>
        <w:jc w:val="both"/>
        <w:rPr>
          <w:lang w:val="es-MX"/>
        </w:rPr>
      </w:pPr>
    </w:p>
    <w:p w14:paraId="53C8B305" w14:textId="773C9D19" w:rsidR="005C3832" w:rsidRDefault="000D3BE0" w:rsidP="00466944">
      <w:pPr>
        <w:numPr>
          <w:ilvl w:val="1"/>
          <w:numId w:val="2"/>
        </w:numPr>
        <w:overflowPunct/>
        <w:autoSpaceDE/>
        <w:autoSpaceDN/>
        <w:adjustRightInd/>
        <w:spacing w:before="100" w:beforeAutospacing="1" w:after="240"/>
        <w:jc w:val="both"/>
        <w:textAlignment w:val="auto"/>
        <w:rPr>
          <w:b/>
          <w:bCs/>
          <w:lang w:val="es-MX"/>
        </w:rPr>
      </w:pPr>
      <w:r>
        <w:rPr>
          <w:b/>
          <w:bCs/>
          <w:lang w:val="es-MX"/>
        </w:rPr>
        <w:t>Lineamientos para la generación de respaldos.</w:t>
      </w:r>
    </w:p>
    <w:p w14:paraId="7DA67865" w14:textId="77777777" w:rsidR="005105EE" w:rsidRPr="005105EE" w:rsidRDefault="005105EE" w:rsidP="00466944">
      <w:pPr>
        <w:pStyle w:val="Prrafodelista"/>
        <w:numPr>
          <w:ilvl w:val="2"/>
          <w:numId w:val="2"/>
        </w:numPr>
        <w:jc w:val="both"/>
        <w:rPr>
          <w:lang w:val="es-MX"/>
        </w:rPr>
      </w:pPr>
      <w:r w:rsidRPr="005105EE">
        <w:rPr>
          <w:lang w:val="es-MX"/>
        </w:rPr>
        <w:t>Las herramientas oficiales para realizar los respaldos de los servidores virtuales serán:</w:t>
      </w:r>
    </w:p>
    <w:p w14:paraId="502418A6" w14:textId="1C79CC01" w:rsidR="0081683A" w:rsidRPr="0081683A" w:rsidRDefault="0081683A" w:rsidP="00466944">
      <w:pPr>
        <w:numPr>
          <w:ilvl w:val="3"/>
          <w:numId w:val="2"/>
        </w:numPr>
        <w:overflowPunct/>
        <w:autoSpaceDE/>
        <w:autoSpaceDN/>
        <w:adjustRightInd/>
        <w:spacing w:before="80" w:after="80"/>
        <w:jc w:val="both"/>
        <w:textAlignment w:val="auto"/>
        <w:rPr>
          <w:lang w:val="es-MX"/>
        </w:rPr>
      </w:pPr>
      <w:r w:rsidRPr="0081683A">
        <w:rPr>
          <w:lang w:val="es-MX"/>
        </w:rPr>
        <w:t>Instantáneas. Realizadas con los mecanismos internos del propio sistema de virtualización.</w:t>
      </w:r>
    </w:p>
    <w:p w14:paraId="13D27272" w14:textId="77777777" w:rsidR="0081683A" w:rsidRDefault="0081683A" w:rsidP="00466944">
      <w:pPr>
        <w:numPr>
          <w:ilvl w:val="3"/>
          <w:numId w:val="2"/>
        </w:numPr>
        <w:overflowPunct/>
        <w:autoSpaceDE/>
        <w:autoSpaceDN/>
        <w:adjustRightInd/>
        <w:spacing w:before="80" w:after="80"/>
        <w:jc w:val="both"/>
        <w:textAlignment w:val="auto"/>
        <w:rPr>
          <w:lang w:val="es-MX"/>
        </w:rPr>
      </w:pPr>
      <w:proofErr w:type="spellStart"/>
      <w:r w:rsidRPr="0081683A">
        <w:rPr>
          <w:lang w:val="es-MX"/>
        </w:rPr>
        <w:t>Veeam</w:t>
      </w:r>
      <w:proofErr w:type="spellEnd"/>
      <w:r w:rsidRPr="0081683A">
        <w:rPr>
          <w:lang w:val="es-MX"/>
        </w:rPr>
        <w:t xml:space="preserve"> </w:t>
      </w:r>
      <w:proofErr w:type="spellStart"/>
      <w:r w:rsidRPr="0081683A">
        <w:rPr>
          <w:lang w:val="es-MX"/>
        </w:rPr>
        <w:t>Backup</w:t>
      </w:r>
      <w:proofErr w:type="spellEnd"/>
      <w:r w:rsidRPr="0081683A">
        <w:rPr>
          <w:lang w:val="es-MX"/>
        </w:rPr>
        <w:t xml:space="preserve"> en su versión más actual.</w:t>
      </w:r>
    </w:p>
    <w:p w14:paraId="63F90FEB" w14:textId="77777777" w:rsidR="005C0840" w:rsidRPr="005C0840" w:rsidRDefault="005C0840" w:rsidP="00466944">
      <w:pPr>
        <w:pStyle w:val="Prrafodelista"/>
        <w:numPr>
          <w:ilvl w:val="2"/>
          <w:numId w:val="2"/>
        </w:numPr>
        <w:jc w:val="both"/>
        <w:rPr>
          <w:lang w:val="es-MX"/>
        </w:rPr>
      </w:pPr>
      <w:r w:rsidRPr="005C0840">
        <w:rPr>
          <w:lang w:val="es-MX"/>
        </w:rPr>
        <w:t>Se deberán utilizar dos tipos de medios para almacenar los respaldos:</w:t>
      </w:r>
    </w:p>
    <w:p w14:paraId="4F5A4FBA" w14:textId="5CA03869" w:rsidR="00EA39A3" w:rsidRPr="00EA39A3" w:rsidRDefault="00EA39A3" w:rsidP="00466944">
      <w:pPr>
        <w:numPr>
          <w:ilvl w:val="3"/>
          <w:numId w:val="2"/>
        </w:numPr>
        <w:overflowPunct/>
        <w:autoSpaceDE/>
        <w:autoSpaceDN/>
        <w:adjustRightInd/>
        <w:spacing w:before="80" w:after="80"/>
        <w:jc w:val="both"/>
        <w:textAlignment w:val="auto"/>
        <w:rPr>
          <w:lang w:val="es-MX"/>
        </w:rPr>
      </w:pPr>
      <w:r w:rsidRPr="00EA39A3">
        <w:rPr>
          <w:lang w:val="es-MX"/>
        </w:rPr>
        <w:t>Respaldos en disco para rápida recuperación.</w:t>
      </w:r>
    </w:p>
    <w:p w14:paraId="56B16B6F" w14:textId="77777777" w:rsidR="00EA39A3" w:rsidRDefault="00EA39A3" w:rsidP="00466944">
      <w:pPr>
        <w:numPr>
          <w:ilvl w:val="3"/>
          <w:numId w:val="2"/>
        </w:numPr>
        <w:overflowPunct/>
        <w:autoSpaceDE/>
        <w:autoSpaceDN/>
        <w:adjustRightInd/>
        <w:spacing w:before="80" w:after="80"/>
        <w:jc w:val="both"/>
        <w:textAlignment w:val="auto"/>
        <w:rPr>
          <w:lang w:val="es-MX"/>
        </w:rPr>
      </w:pPr>
      <w:r w:rsidRPr="00EA39A3">
        <w:rPr>
          <w:lang w:val="es-MX"/>
        </w:rPr>
        <w:t>Respaldos en cintas para históricos.</w:t>
      </w:r>
    </w:p>
    <w:p w14:paraId="5F7A10F9" w14:textId="77777777" w:rsidR="00EA39A3" w:rsidRPr="00EA39A3" w:rsidRDefault="00EA39A3" w:rsidP="00466944">
      <w:pPr>
        <w:overflowPunct/>
        <w:autoSpaceDE/>
        <w:autoSpaceDN/>
        <w:adjustRightInd/>
        <w:spacing w:before="80" w:after="80"/>
        <w:jc w:val="both"/>
        <w:textAlignment w:val="auto"/>
        <w:rPr>
          <w:lang w:val="es-MX"/>
        </w:rPr>
      </w:pPr>
    </w:p>
    <w:p w14:paraId="7F046B64" w14:textId="35C13E27" w:rsidR="00A713E9" w:rsidRPr="00A713E9" w:rsidRDefault="00A713E9" w:rsidP="00466944">
      <w:pPr>
        <w:numPr>
          <w:ilvl w:val="2"/>
          <w:numId w:val="2"/>
        </w:numPr>
        <w:overflowPunct/>
        <w:autoSpaceDE/>
        <w:autoSpaceDN/>
        <w:adjustRightInd/>
        <w:spacing w:before="80" w:after="80"/>
        <w:jc w:val="both"/>
        <w:textAlignment w:val="auto"/>
        <w:rPr>
          <w:lang w:val="es-MX"/>
        </w:rPr>
      </w:pPr>
      <w:r w:rsidRPr="00A713E9">
        <w:rPr>
          <w:lang w:val="es-MX"/>
        </w:rPr>
        <w:lastRenderedPageBreak/>
        <w:t>La periodicidad de respaldo para los sistemas de bases de datos será un respaldo full semanal e incrementales cada 8 horas. Para los sistemas operativos y aplicaciones un full mensual y un incremental por semana.</w:t>
      </w:r>
    </w:p>
    <w:p w14:paraId="6C9B340D" w14:textId="40E5D03A" w:rsidR="00A713E9" w:rsidRPr="00A713E9" w:rsidRDefault="00A713E9" w:rsidP="00466944">
      <w:pPr>
        <w:numPr>
          <w:ilvl w:val="2"/>
          <w:numId w:val="2"/>
        </w:numPr>
        <w:overflowPunct/>
        <w:autoSpaceDE/>
        <w:autoSpaceDN/>
        <w:adjustRightInd/>
        <w:spacing w:before="80" w:after="80"/>
        <w:jc w:val="both"/>
        <w:textAlignment w:val="auto"/>
        <w:rPr>
          <w:lang w:val="es-MX"/>
        </w:rPr>
      </w:pPr>
      <w:r w:rsidRPr="00A713E9">
        <w:rPr>
          <w:lang w:val="es-MX"/>
        </w:rPr>
        <w:t>Para los repositorios compartidos se deberá habilitar un control de versiones que mantenga dos versiones diarias de los archivos, además de un respaldo full mensual del repositorio con incrementales diarios.</w:t>
      </w:r>
    </w:p>
    <w:p w14:paraId="4E543939" w14:textId="01FE28D4" w:rsidR="00A713E9" w:rsidRPr="00A713E9" w:rsidRDefault="00A713E9" w:rsidP="00466944">
      <w:pPr>
        <w:numPr>
          <w:ilvl w:val="2"/>
          <w:numId w:val="2"/>
        </w:numPr>
        <w:overflowPunct/>
        <w:autoSpaceDE/>
        <w:autoSpaceDN/>
        <w:adjustRightInd/>
        <w:spacing w:before="80" w:after="80"/>
        <w:jc w:val="both"/>
        <w:textAlignment w:val="auto"/>
        <w:rPr>
          <w:lang w:val="es-MX"/>
        </w:rPr>
      </w:pPr>
      <w:r w:rsidRPr="00A713E9">
        <w:rPr>
          <w:lang w:val="es-MX"/>
        </w:rPr>
        <w:t>Se deberá revisar diariamente que los procesos de respaldo se hayan ejecutado satisfactoriamente, en caso contrario se deberán hacer los ajustes necesarios.</w:t>
      </w:r>
    </w:p>
    <w:p w14:paraId="1024102F" w14:textId="7CFC7D87" w:rsidR="00A713E9" w:rsidRDefault="00A713E9" w:rsidP="00466944">
      <w:pPr>
        <w:numPr>
          <w:ilvl w:val="2"/>
          <w:numId w:val="2"/>
        </w:numPr>
        <w:overflowPunct/>
        <w:autoSpaceDE/>
        <w:autoSpaceDN/>
        <w:adjustRightInd/>
        <w:spacing w:before="80" w:after="80"/>
        <w:jc w:val="both"/>
        <w:textAlignment w:val="auto"/>
        <w:rPr>
          <w:lang w:val="es-MX"/>
        </w:rPr>
      </w:pPr>
      <w:r w:rsidRPr="00A713E9">
        <w:rPr>
          <w:lang w:val="es-MX"/>
        </w:rPr>
        <w:t xml:space="preserve">En caso excepciones, por </w:t>
      </w:r>
      <w:r w:rsidR="00FE7781" w:rsidRPr="00A713E9">
        <w:rPr>
          <w:lang w:val="es-MX"/>
        </w:rPr>
        <w:t>ejemplo,</w:t>
      </w:r>
      <w:r w:rsidRPr="00A713E9">
        <w:rPr>
          <w:lang w:val="es-MX"/>
        </w:rPr>
        <w:t xml:space="preserve"> cuando el área de Desarrollo o Infraestructura vaya a realizar alguna modificación que implique un riesgo en la integridad de los datos, deberán solicitar un respaldo especial no calendarizado mediante el correo electrónico, donde especifique los puntos definidos en la sección.</w:t>
      </w:r>
    </w:p>
    <w:p w14:paraId="032BD492" w14:textId="77777777" w:rsidR="00502DFF" w:rsidRPr="00FE7781" w:rsidRDefault="00502DFF" w:rsidP="00466944">
      <w:pPr>
        <w:overflowPunct/>
        <w:autoSpaceDE/>
        <w:autoSpaceDN/>
        <w:adjustRightInd/>
        <w:spacing w:before="80" w:after="80"/>
        <w:ind w:left="1800"/>
        <w:jc w:val="both"/>
        <w:textAlignment w:val="auto"/>
        <w:rPr>
          <w:sz w:val="8"/>
          <w:lang w:val="es-MX"/>
        </w:rPr>
      </w:pPr>
    </w:p>
    <w:p w14:paraId="575E2FC2" w14:textId="755D0E3C" w:rsidR="0081683A" w:rsidRPr="00502DFF" w:rsidRDefault="00502DFF" w:rsidP="00466944">
      <w:pPr>
        <w:numPr>
          <w:ilvl w:val="1"/>
          <w:numId w:val="2"/>
        </w:numPr>
        <w:overflowPunct/>
        <w:autoSpaceDE/>
        <w:autoSpaceDN/>
        <w:adjustRightInd/>
        <w:spacing w:before="80" w:after="80"/>
        <w:jc w:val="both"/>
        <w:textAlignment w:val="auto"/>
        <w:rPr>
          <w:b/>
          <w:bCs/>
          <w:lang w:val="es-MX"/>
        </w:rPr>
      </w:pPr>
      <w:r w:rsidRPr="00502DFF">
        <w:rPr>
          <w:b/>
          <w:bCs/>
          <w:lang w:val="es-MX"/>
        </w:rPr>
        <w:t>Directrices para las pruebas de respaldos.</w:t>
      </w:r>
    </w:p>
    <w:p w14:paraId="604EE1E2" w14:textId="66C8D7CB" w:rsidR="00EF6F3E" w:rsidRPr="00EF6F3E" w:rsidRDefault="00EF6F3E" w:rsidP="00466944">
      <w:pPr>
        <w:numPr>
          <w:ilvl w:val="2"/>
          <w:numId w:val="2"/>
        </w:numPr>
        <w:overflowPunct/>
        <w:autoSpaceDE/>
        <w:autoSpaceDN/>
        <w:adjustRightInd/>
        <w:spacing w:before="80" w:after="80"/>
        <w:ind w:left="1797"/>
        <w:jc w:val="both"/>
        <w:textAlignment w:val="auto"/>
        <w:rPr>
          <w:lang w:val="es-MX"/>
        </w:rPr>
      </w:pPr>
      <w:r w:rsidRPr="00EF6F3E">
        <w:rPr>
          <w:lang w:val="es-MX"/>
        </w:rPr>
        <w:t>Los respaldos deberán ser puestos a prueba para garantizar su integridad al menos una vez al mes, en máquinas virtuales, bajando el respaldo y encendiéndolo en una VLAN independiente.</w:t>
      </w:r>
    </w:p>
    <w:p w14:paraId="242E09EA" w14:textId="592FBAAA" w:rsidR="00EF6F3E" w:rsidRPr="00EF6F3E" w:rsidRDefault="00EF6F3E" w:rsidP="00466944">
      <w:pPr>
        <w:numPr>
          <w:ilvl w:val="2"/>
          <w:numId w:val="2"/>
        </w:numPr>
        <w:overflowPunct/>
        <w:autoSpaceDE/>
        <w:autoSpaceDN/>
        <w:adjustRightInd/>
        <w:spacing w:before="80" w:after="80"/>
        <w:ind w:left="1797"/>
        <w:jc w:val="both"/>
        <w:textAlignment w:val="auto"/>
        <w:rPr>
          <w:lang w:val="es-MX"/>
        </w:rPr>
      </w:pPr>
      <w:r w:rsidRPr="00EF6F3E">
        <w:rPr>
          <w:lang w:val="es-MX"/>
        </w:rPr>
        <w:t>Los respaldos correspondientes a las bases de datos deberán ser descargados en otro servidor con un nombre de base de datos diferente.</w:t>
      </w:r>
    </w:p>
    <w:p w14:paraId="2FD15AE8" w14:textId="4E00B254" w:rsidR="00EF6F3E" w:rsidRPr="00EF6F3E" w:rsidRDefault="00EF6F3E" w:rsidP="00466944">
      <w:pPr>
        <w:numPr>
          <w:ilvl w:val="2"/>
          <w:numId w:val="2"/>
        </w:numPr>
        <w:overflowPunct/>
        <w:autoSpaceDE/>
        <w:autoSpaceDN/>
        <w:adjustRightInd/>
        <w:spacing w:before="80" w:after="80"/>
        <w:ind w:left="1797"/>
        <w:jc w:val="both"/>
        <w:textAlignment w:val="auto"/>
        <w:rPr>
          <w:lang w:val="es-MX"/>
        </w:rPr>
      </w:pPr>
      <w:r w:rsidRPr="00EF6F3E">
        <w:rPr>
          <w:lang w:val="es-MX"/>
        </w:rPr>
        <w:t>Después de realizar las pruebas correspondientes se deberán eliminar las descargas generadas.</w:t>
      </w:r>
    </w:p>
    <w:p w14:paraId="0D995106" w14:textId="77777777" w:rsidR="00EF6F3E" w:rsidRDefault="00EF6F3E" w:rsidP="00466944">
      <w:pPr>
        <w:numPr>
          <w:ilvl w:val="2"/>
          <w:numId w:val="2"/>
        </w:numPr>
        <w:overflowPunct/>
        <w:autoSpaceDE/>
        <w:autoSpaceDN/>
        <w:adjustRightInd/>
        <w:spacing w:before="80" w:after="80"/>
        <w:ind w:left="1797"/>
        <w:jc w:val="both"/>
        <w:textAlignment w:val="auto"/>
        <w:rPr>
          <w:lang w:val="es-MX"/>
        </w:rPr>
      </w:pPr>
      <w:r w:rsidRPr="00EF6F3E">
        <w:rPr>
          <w:lang w:val="es-MX"/>
        </w:rPr>
        <w:t xml:space="preserve">Se deberá llevar una bitácora de esta actividad donde se registren los resultados. log de </w:t>
      </w:r>
      <w:proofErr w:type="spellStart"/>
      <w:r w:rsidRPr="00EF6F3E">
        <w:rPr>
          <w:lang w:val="es-MX"/>
        </w:rPr>
        <w:t>veeam</w:t>
      </w:r>
      <w:proofErr w:type="spellEnd"/>
      <w:r w:rsidRPr="00EF6F3E">
        <w:rPr>
          <w:lang w:val="es-MX"/>
        </w:rPr>
        <w:t xml:space="preserve"> </w:t>
      </w:r>
      <w:proofErr w:type="spellStart"/>
      <w:r w:rsidRPr="00EF6F3E">
        <w:rPr>
          <w:lang w:val="es-MX"/>
        </w:rPr>
        <w:t>backup</w:t>
      </w:r>
      <w:proofErr w:type="spellEnd"/>
      <w:r w:rsidRPr="00EF6F3E">
        <w:rPr>
          <w:lang w:val="es-MX"/>
        </w:rPr>
        <w:t xml:space="preserve"> (contenido en el sistema de respaldo).</w:t>
      </w:r>
    </w:p>
    <w:p w14:paraId="257F977C" w14:textId="77777777" w:rsidR="00973EB8" w:rsidRPr="00FE7781" w:rsidRDefault="00973EB8" w:rsidP="00466944">
      <w:pPr>
        <w:overflowPunct/>
        <w:autoSpaceDE/>
        <w:autoSpaceDN/>
        <w:adjustRightInd/>
        <w:spacing w:before="80" w:after="80"/>
        <w:ind w:left="1797"/>
        <w:jc w:val="both"/>
        <w:textAlignment w:val="auto"/>
        <w:rPr>
          <w:sz w:val="4"/>
          <w:lang w:val="es-MX"/>
        </w:rPr>
      </w:pPr>
    </w:p>
    <w:p w14:paraId="6046650D" w14:textId="77777777" w:rsidR="00973EB8" w:rsidRPr="00973EB8" w:rsidRDefault="00973EB8" w:rsidP="00466944">
      <w:pPr>
        <w:pStyle w:val="Prrafodelista"/>
        <w:numPr>
          <w:ilvl w:val="1"/>
          <w:numId w:val="2"/>
        </w:numPr>
        <w:jc w:val="both"/>
        <w:rPr>
          <w:b/>
          <w:bCs/>
          <w:lang w:val="es-MX"/>
        </w:rPr>
      </w:pPr>
      <w:r w:rsidRPr="00973EB8">
        <w:rPr>
          <w:b/>
          <w:bCs/>
          <w:lang w:val="es-MX"/>
        </w:rPr>
        <w:t>Directrices para los periodos de resguardo en los respaldos</w:t>
      </w:r>
    </w:p>
    <w:p w14:paraId="794582FF" w14:textId="3727D36B" w:rsidR="00300555" w:rsidRPr="00300555" w:rsidRDefault="00300555" w:rsidP="00466944">
      <w:pPr>
        <w:numPr>
          <w:ilvl w:val="2"/>
          <w:numId w:val="2"/>
        </w:numPr>
        <w:overflowPunct/>
        <w:autoSpaceDE/>
        <w:autoSpaceDN/>
        <w:adjustRightInd/>
        <w:spacing w:before="80" w:after="80"/>
        <w:ind w:left="1797"/>
        <w:jc w:val="both"/>
        <w:textAlignment w:val="auto"/>
        <w:rPr>
          <w:lang w:val="es-MX"/>
        </w:rPr>
      </w:pPr>
      <w:r w:rsidRPr="00300555">
        <w:rPr>
          <w:lang w:val="es-MX"/>
        </w:rPr>
        <w:t>Se deberá mantener una copia full semanal y “n” cantidad de incrementales según la periodicidad de los respaldos.</w:t>
      </w:r>
    </w:p>
    <w:p w14:paraId="1B1F9376" w14:textId="512736F5" w:rsidR="00300555" w:rsidRPr="00300555" w:rsidRDefault="00300555" w:rsidP="00466944">
      <w:pPr>
        <w:numPr>
          <w:ilvl w:val="2"/>
          <w:numId w:val="2"/>
        </w:numPr>
        <w:overflowPunct/>
        <w:autoSpaceDE/>
        <w:autoSpaceDN/>
        <w:adjustRightInd/>
        <w:spacing w:before="80" w:after="80"/>
        <w:ind w:left="1797"/>
        <w:jc w:val="both"/>
        <w:textAlignment w:val="auto"/>
        <w:rPr>
          <w:lang w:val="es-MX"/>
        </w:rPr>
      </w:pPr>
      <w:r w:rsidRPr="00300555">
        <w:rPr>
          <w:lang w:val="es-MX"/>
        </w:rPr>
        <w:t>Los respaldos incrementales se consolidarán cada 7 días y en cintas se almacenará una copia como histórico, tanto en el sitio principal como en el sitio alterno, la permanencia en ellas será de al menos un año.</w:t>
      </w:r>
    </w:p>
    <w:p w14:paraId="5ACBF3C0" w14:textId="1D8EB206" w:rsidR="00E702BF" w:rsidRDefault="00300555" w:rsidP="00466944">
      <w:pPr>
        <w:numPr>
          <w:ilvl w:val="2"/>
          <w:numId w:val="2"/>
        </w:numPr>
        <w:overflowPunct/>
        <w:autoSpaceDE/>
        <w:autoSpaceDN/>
        <w:adjustRightInd/>
        <w:spacing w:before="80" w:after="80"/>
        <w:ind w:left="1797"/>
        <w:jc w:val="both"/>
        <w:textAlignment w:val="auto"/>
        <w:rPr>
          <w:lang w:val="es-MX"/>
        </w:rPr>
      </w:pPr>
      <w:r w:rsidRPr="00300555">
        <w:rPr>
          <w:lang w:val="es-MX"/>
        </w:rPr>
        <w:t>Los respaldos semanales que se almacenan como históricos en cintas, deberán ser resguardados en el almacén general, en una bóveda destinada para este fin.</w:t>
      </w:r>
    </w:p>
    <w:p w14:paraId="74CECDD5" w14:textId="77777777" w:rsidR="009802A0" w:rsidRDefault="009802A0" w:rsidP="009802A0">
      <w:pPr>
        <w:overflowPunct/>
        <w:autoSpaceDE/>
        <w:autoSpaceDN/>
        <w:adjustRightInd/>
        <w:spacing w:before="80" w:after="80"/>
        <w:ind w:left="1797"/>
        <w:jc w:val="both"/>
        <w:textAlignment w:val="auto"/>
        <w:rPr>
          <w:lang w:val="es-MX"/>
        </w:rPr>
      </w:pPr>
    </w:p>
    <w:p w14:paraId="297F5069" w14:textId="6C17D65A" w:rsidR="00300555" w:rsidRPr="009802A0" w:rsidRDefault="009802A0" w:rsidP="009802A0">
      <w:pPr>
        <w:numPr>
          <w:ilvl w:val="1"/>
          <w:numId w:val="2"/>
        </w:numPr>
        <w:overflowPunct/>
        <w:autoSpaceDE/>
        <w:autoSpaceDN/>
        <w:adjustRightInd/>
        <w:spacing w:before="80" w:after="80"/>
        <w:jc w:val="both"/>
        <w:textAlignment w:val="auto"/>
        <w:rPr>
          <w:b/>
          <w:bCs/>
          <w:lang w:val="es-MX"/>
        </w:rPr>
      </w:pPr>
      <w:r w:rsidRPr="009802A0">
        <w:rPr>
          <w:b/>
          <w:bCs/>
          <w:lang w:val="es-MX"/>
        </w:rPr>
        <w:t>Restauración de Respaldos.</w:t>
      </w:r>
    </w:p>
    <w:p w14:paraId="02788C10" w14:textId="30594358" w:rsidR="009802A0" w:rsidRDefault="00466944" w:rsidP="00217777">
      <w:pPr>
        <w:pStyle w:val="Prrafodelista"/>
        <w:numPr>
          <w:ilvl w:val="2"/>
          <w:numId w:val="2"/>
        </w:numPr>
        <w:spacing w:before="80" w:after="80"/>
        <w:ind w:left="1797"/>
        <w:contextualSpacing w:val="0"/>
        <w:jc w:val="both"/>
        <w:rPr>
          <w:lang w:val="es-MX"/>
        </w:rPr>
      </w:pPr>
      <w:r w:rsidRPr="00466944">
        <w:rPr>
          <w:lang w:val="es-MX"/>
        </w:rPr>
        <w:t>La restauración de respaldos deberá ser solicitada formalmente indicando sistema, fecha del punto de restauración requerido, dirección IP del servicio, nombre de la base de datos e instancia según aplique, mediante un correo electrónico a la Gerencia de Infraestructura.</w:t>
      </w:r>
    </w:p>
    <w:p w14:paraId="27999BD3" w14:textId="63029708" w:rsidR="00217777" w:rsidRPr="00217777" w:rsidRDefault="00217777" w:rsidP="00217777">
      <w:pPr>
        <w:pStyle w:val="Prrafodelista"/>
        <w:numPr>
          <w:ilvl w:val="2"/>
          <w:numId w:val="2"/>
        </w:numPr>
        <w:spacing w:before="80" w:after="80"/>
        <w:ind w:left="1797"/>
        <w:contextualSpacing w:val="0"/>
        <w:jc w:val="both"/>
        <w:rPr>
          <w:lang w:val="es-MX"/>
        </w:rPr>
      </w:pPr>
      <w:r w:rsidRPr="00217777">
        <w:rPr>
          <w:lang w:val="es-MX"/>
        </w:rPr>
        <w:t>La restauración de máquinas virtuales completas se deberá realizar en otro “host” y con un nombre alternativo sin sobrescribir la máquina virtual original, la cual será borrada tras comprobar el correcto funcionamiento de la maquina restaurada.</w:t>
      </w:r>
    </w:p>
    <w:p w14:paraId="35D978B3" w14:textId="152773AB" w:rsidR="00217777" w:rsidRPr="00217777" w:rsidRDefault="00217777" w:rsidP="00217777">
      <w:pPr>
        <w:pStyle w:val="Prrafodelista"/>
        <w:numPr>
          <w:ilvl w:val="2"/>
          <w:numId w:val="2"/>
        </w:numPr>
        <w:spacing w:before="80" w:after="80"/>
        <w:ind w:left="1797"/>
        <w:contextualSpacing w:val="0"/>
        <w:jc w:val="both"/>
        <w:rPr>
          <w:lang w:val="es-MX"/>
        </w:rPr>
      </w:pPr>
      <w:r w:rsidRPr="00217777">
        <w:rPr>
          <w:lang w:val="es-MX"/>
        </w:rPr>
        <w:t>La restauración de archivos individuales se realizará en el servidor de respaldos y después se moverá a su lugar de origen sin sobre escribir, conservando los archivos originales hasta comprobar que estos han sido restaurados en el estado solicitado. El usuario notificará por correo electrónico a la Administración de XIGA que el respaldo descargado es correcto y está en buenas condiciones.</w:t>
      </w:r>
    </w:p>
    <w:p w14:paraId="72F83CFF" w14:textId="77777777" w:rsidR="00217777" w:rsidRDefault="00217777" w:rsidP="00217777">
      <w:pPr>
        <w:pStyle w:val="Prrafodelista"/>
        <w:numPr>
          <w:ilvl w:val="2"/>
          <w:numId w:val="2"/>
        </w:numPr>
        <w:spacing w:before="80" w:after="80"/>
        <w:ind w:left="1797"/>
        <w:contextualSpacing w:val="0"/>
        <w:jc w:val="both"/>
        <w:rPr>
          <w:lang w:val="es-MX"/>
        </w:rPr>
      </w:pPr>
      <w:r w:rsidRPr="00217777">
        <w:rPr>
          <w:lang w:val="es-MX"/>
        </w:rPr>
        <w:t>La restauración de bases de datos se realizará en el servidor original, previo al proceso de des-adjuntar las bases de datos originales y moverlas de lugar, las cuales podrán ser eliminadas después de que se haya comprobado la integridad de las bases restauradas, el solicitante confirmará mediante correo electrónico a la Gerencia de Infraestructura que el respaldo descardo es correcto y está en buenas condiciones.</w:t>
      </w:r>
    </w:p>
    <w:p w14:paraId="692DFB77" w14:textId="02AC8DBA" w:rsidR="0027136D" w:rsidRDefault="00217777" w:rsidP="0027136D">
      <w:pPr>
        <w:pStyle w:val="Prrafodelista"/>
        <w:numPr>
          <w:ilvl w:val="1"/>
          <w:numId w:val="2"/>
        </w:numPr>
        <w:jc w:val="both"/>
        <w:rPr>
          <w:b/>
          <w:bCs/>
          <w:lang w:val="es-MX"/>
        </w:rPr>
      </w:pPr>
      <w:r w:rsidRPr="00217777">
        <w:rPr>
          <w:b/>
          <w:bCs/>
          <w:lang w:val="es-MX"/>
        </w:rPr>
        <w:lastRenderedPageBreak/>
        <w:t>Destrucción de Respaldos</w:t>
      </w:r>
      <w:r w:rsidR="0027136D">
        <w:rPr>
          <w:b/>
          <w:bCs/>
          <w:lang w:val="es-MX"/>
        </w:rPr>
        <w:t>.</w:t>
      </w:r>
    </w:p>
    <w:p w14:paraId="23BBCB8B" w14:textId="77777777" w:rsidR="006A59D7" w:rsidRPr="006A59D7" w:rsidRDefault="006A59D7" w:rsidP="006A59D7">
      <w:pPr>
        <w:pStyle w:val="Prrafodelista"/>
        <w:numPr>
          <w:ilvl w:val="2"/>
          <w:numId w:val="2"/>
        </w:numPr>
        <w:spacing w:before="80" w:after="80"/>
        <w:ind w:left="1797"/>
        <w:contextualSpacing w:val="0"/>
        <w:jc w:val="both"/>
        <w:rPr>
          <w:lang w:val="es-MX"/>
        </w:rPr>
      </w:pPr>
      <w:r w:rsidRPr="006A59D7">
        <w:rPr>
          <w:lang w:val="es-MX"/>
        </w:rPr>
        <w:t>Los respaldos realizados en disco se destruirán automáticamente al reciclar el espacio de los respaldos antiguos para dar lugar a los nuevos.</w:t>
      </w:r>
    </w:p>
    <w:p w14:paraId="767C5E0C" w14:textId="77777777" w:rsidR="006A59D7" w:rsidRDefault="006A59D7" w:rsidP="006A59D7">
      <w:pPr>
        <w:pStyle w:val="Prrafodelista"/>
        <w:numPr>
          <w:ilvl w:val="2"/>
          <w:numId w:val="2"/>
        </w:numPr>
        <w:spacing w:before="80" w:after="80"/>
        <w:ind w:left="1797"/>
        <w:contextualSpacing w:val="0"/>
        <w:jc w:val="both"/>
        <w:rPr>
          <w:lang w:val="es-MX"/>
        </w:rPr>
      </w:pPr>
      <w:r w:rsidRPr="006A59D7">
        <w:rPr>
          <w:lang w:val="es-MX"/>
        </w:rPr>
        <w:t>En el caso de las cintas estas deberán ser destruidas físicamente al alcanzar los 5 años de vida útil o las 256 rescrituras.</w:t>
      </w:r>
    </w:p>
    <w:p w14:paraId="2BCCA8EE" w14:textId="77777777" w:rsidR="005A79CD" w:rsidRPr="006A59D7" w:rsidRDefault="005A79CD" w:rsidP="005A79CD">
      <w:pPr>
        <w:pStyle w:val="Prrafodelista"/>
        <w:spacing w:before="80" w:after="80"/>
        <w:ind w:left="1797"/>
        <w:contextualSpacing w:val="0"/>
        <w:jc w:val="both"/>
        <w:rPr>
          <w:lang w:val="es-MX"/>
        </w:rPr>
      </w:pPr>
    </w:p>
    <w:p w14:paraId="011085FC" w14:textId="77777777" w:rsidR="005A79CD" w:rsidRPr="005A79CD" w:rsidRDefault="005A79CD" w:rsidP="00296397">
      <w:pPr>
        <w:pStyle w:val="Prrafodelista"/>
        <w:numPr>
          <w:ilvl w:val="1"/>
          <w:numId w:val="2"/>
        </w:numPr>
        <w:spacing w:before="60" w:after="60"/>
        <w:contextualSpacing w:val="0"/>
        <w:rPr>
          <w:b/>
          <w:bCs/>
          <w:lang w:val="es-MX"/>
        </w:rPr>
      </w:pPr>
      <w:r w:rsidRPr="005A79CD">
        <w:rPr>
          <w:b/>
          <w:bCs/>
          <w:lang w:val="es-MX"/>
        </w:rPr>
        <w:t>Lineamientos de atención a situaciones fortuitas:</w:t>
      </w:r>
    </w:p>
    <w:p w14:paraId="429D22F8" w14:textId="77777777" w:rsidR="00296397" w:rsidRDefault="00296397" w:rsidP="00296397">
      <w:pPr>
        <w:pStyle w:val="Prrafodelista"/>
        <w:numPr>
          <w:ilvl w:val="2"/>
          <w:numId w:val="2"/>
        </w:numPr>
        <w:spacing w:before="60" w:after="60"/>
        <w:contextualSpacing w:val="0"/>
        <w:jc w:val="both"/>
        <w:rPr>
          <w:lang w:val="es-MX"/>
        </w:rPr>
      </w:pPr>
      <w:r w:rsidRPr="00296397">
        <w:rPr>
          <w:lang w:val="es-MX"/>
        </w:rPr>
        <w:t>Ante cualquier situación no prevista que provoque una caída de los sistemas causado por la pérdida de la integridad de los datos, deberán de solicitar las restauraciones con carácter urgente a través de los mecanismos anteriormente mencionados y siguiendo las directrices de restauración de respaldos.</w:t>
      </w:r>
    </w:p>
    <w:p w14:paraId="4E92805F" w14:textId="77777777" w:rsidR="003B6FFA" w:rsidRPr="00296397" w:rsidRDefault="003B6FFA" w:rsidP="003B6FFA">
      <w:pPr>
        <w:pStyle w:val="Prrafodelista"/>
        <w:spacing w:before="60" w:after="60"/>
        <w:ind w:left="1800"/>
        <w:contextualSpacing w:val="0"/>
        <w:jc w:val="both"/>
        <w:rPr>
          <w:lang w:val="es-MX"/>
        </w:rPr>
      </w:pPr>
    </w:p>
    <w:p w14:paraId="30934A21" w14:textId="73AFCB29" w:rsidR="0027136D" w:rsidRDefault="003B6FFA" w:rsidP="003B6FFA">
      <w:pPr>
        <w:pStyle w:val="Prrafodelista"/>
        <w:numPr>
          <w:ilvl w:val="1"/>
          <w:numId w:val="2"/>
        </w:numPr>
        <w:spacing w:before="60" w:after="60"/>
        <w:contextualSpacing w:val="0"/>
        <w:jc w:val="both"/>
        <w:rPr>
          <w:b/>
          <w:bCs/>
          <w:lang w:val="es-MX"/>
        </w:rPr>
      </w:pPr>
      <w:r>
        <w:rPr>
          <w:b/>
          <w:bCs/>
          <w:lang w:val="es-MX"/>
        </w:rPr>
        <w:t>Penalizaciones por incumplimiento.</w:t>
      </w:r>
    </w:p>
    <w:p w14:paraId="5AE70AB9" w14:textId="1FD179F0" w:rsidR="003B6FFA" w:rsidRPr="003B6FFA" w:rsidRDefault="003B6FFA" w:rsidP="003B6FFA">
      <w:pPr>
        <w:pStyle w:val="Prrafodelista"/>
        <w:numPr>
          <w:ilvl w:val="2"/>
          <w:numId w:val="2"/>
        </w:numPr>
        <w:spacing w:before="60" w:after="60"/>
        <w:contextualSpacing w:val="0"/>
        <w:jc w:val="both"/>
        <w:rPr>
          <w:b/>
          <w:bCs/>
          <w:lang w:val="es-MX"/>
        </w:rPr>
      </w:pPr>
      <w:r>
        <w:rPr>
          <w:lang w:val="es-MX"/>
        </w:rPr>
        <w:t>A todo el personal que incumpla con lo indicado e</w:t>
      </w:r>
      <w:r w:rsidR="0052712A">
        <w:rPr>
          <w:lang w:val="es-MX"/>
        </w:rPr>
        <w:t>n</w:t>
      </w:r>
      <w:r>
        <w:rPr>
          <w:lang w:val="es-MX"/>
        </w:rPr>
        <w:t xml:space="preserve"> esta política se le aplica las penalizaciones que se indique en el Reglamento Interno de Trabajo.</w:t>
      </w:r>
    </w:p>
    <w:p w14:paraId="59ECC831" w14:textId="77777777" w:rsidR="003B6FFA" w:rsidRPr="003B6FFA" w:rsidRDefault="003B6FFA" w:rsidP="003B6FFA">
      <w:pPr>
        <w:pStyle w:val="Prrafodelista"/>
        <w:spacing w:before="60" w:after="60"/>
        <w:ind w:left="1800"/>
        <w:contextualSpacing w:val="0"/>
        <w:jc w:val="both"/>
        <w:rPr>
          <w:b/>
          <w:bCs/>
          <w:lang w:val="es-MX"/>
        </w:rPr>
      </w:pPr>
    </w:p>
    <w:p w14:paraId="008D71F6" w14:textId="142FA1A7" w:rsidR="003B6FFA" w:rsidRDefault="003B6FFA" w:rsidP="005D7BBD">
      <w:pPr>
        <w:pStyle w:val="Prrafodelista"/>
        <w:numPr>
          <w:ilvl w:val="1"/>
          <w:numId w:val="2"/>
        </w:numPr>
        <w:spacing w:before="60" w:after="60"/>
        <w:contextualSpacing w:val="0"/>
        <w:jc w:val="both"/>
        <w:rPr>
          <w:b/>
          <w:bCs/>
          <w:lang w:val="es-MX"/>
        </w:rPr>
      </w:pPr>
      <w:r>
        <w:rPr>
          <w:b/>
          <w:bCs/>
          <w:lang w:val="es-MX"/>
        </w:rPr>
        <w:t>Periodicidad de la revisión de la política.</w:t>
      </w:r>
    </w:p>
    <w:p w14:paraId="3593C1DF" w14:textId="34D2530D" w:rsidR="003B6FFA" w:rsidRPr="00E640E1" w:rsidRDefault="005D7BBD" w:rsidP="00B24A1F">
      <w:pPr>
        <w:pStyle w:val="Prrafodelista"/>
        <w:numPr>
          <w:ilvl w:val="2"/>
          <w:numId w:val="2"/>
        </w:numPr>
        <w:spacing w:before="80" w:after="80"/>
        <w:contextualSpacing w:val="0"/>
        <w:jc w:val="both"/>
        <w:rPr>
          <w:b/>
          <w:bCs/>
          <w:lang w:val="es-MX"/>
        </w:rPr>
      </w:pPr>
      <w:r>
        <w:rPr>
          <w:lang w:val="es-MX"/>
        </w:rPr>
        <w:t>Se harán revisiones a la política, cuando:</w:t>
      </w:r>
    </w:p>
    <w:p w14:paraId="5698B91D" w14:textId="77777777" w:rsidR="00E640E1" w:rsidRPr="00E640E1" w:rsidRDefault="00E640E1" w:rsidP="00B24A1F">
      <w:pPr>
        <w:pStyle w:val="Prrafodelista"/>
        <w:numPr>
          <w:ilvl w:val="3"/>
          <w:numId w:val="2"/>
        </w:numPr>
        <w:spacing w:before="80" w:after="80"/>
        <w:ind w:left="2268" w:hanging="828"/>
        <w:contextualSpacing w:val="0"/>
        <w:jc w:val="both"/>
        <w:rPr>
          <w:lang w:val="es-MX"/>
        </w:rPr>
      </w:pPr>
      <w:r w:rsidRPr="00E640E1">
        <w:rPr>
          <w:lang w:val="es-MX"/>
        </w:rPr>
        <w:t>Exista cambio de tecnología, equipos y/o procesos.</w:t>
      </w:r>
    </w:p>
    <w:p w14:paraId="3C026281" w14:textId="77777777" w:rsidR="00E640E1" w:rsidRPr="00E640E1" w:rsidRDefault="00E640E1" w:rsidP="00B24A1F">
      <w:pPr>
        <w:pStyle w:val="Prrafodelista"/>
        <w:numPr>
          <w:ilvl w:val="3"/>
          <w:numId w:val="2"/>
        </w:numPr>
        <w:spacing w:before="80" w:after="80"/>
        <w:ind w:left="2268" w:hanging="828"/>
        <w:contextualSpacing w:val="0"/>
        <w:jc w:val="both"/>
        <w:rPr>
          <w:lang w:val="es-MX"/>
        </w:rPr>
      </w:pPr>
      <w:r w:rsidRPr="00E640E1">
        <w:rPr>
          <w:lang w:val="es-MX"/>
        </w:rPr>
        <w:t>Se realicen modificaciones significativas en los controles para la generación de respaldos.</w:t>
      </w:r>
    </w:p>
    <w:p w14:paraId="4289C7F4" w14:textId="77777777" w:rsidR="00E640E1" w:rsidRDefault="00E640E1" w:rsidP="00B24A1F">
      <w:pPr>
        <w:pStyle w:val="Prrafodelista"/>
        <w:numPr>
          <w:ilvl w:val="3"/>
          <w:numId w:val="2"/>
        </w:numPr>
        <w:spacing w:before="80" w:after="80"/>
        <w:ind w:left="2268" w:hanging="828"/>
        <w:contextualSpacing w:val="0"/>
        <w:jc w:val="both"/>
        <w:rPr>
          <w:lang w:val="es-MX"/>
        </w:rPr>
      </w:pPr>
      <w:r w:rsidRPr="00E640E1">
        <w:rPr>
          <w:lang w:val="es-MX"/>
        </w:rPr>
        <w:t>Se presenten incidentes relativos a los respaldos.</w:t>
      </w:r>
    </w:p>
    <w:p w14:paraId="1EBDA3D1" w14:textId="77777777" w:rsidR="00B24A1F" w:rsidRPr="00B24A1F" w:rsidRDefault="00B24A1F" w:rsidP="00B24A1F">
      <w:pPr>
        <w:pStyle w:val="Prrafodelista"/>
        <w:numPr>
          <w:ilvl w:val="2"/>
          <w:numId w:val="2"/>
        </w:numPr>
        <w:spacing w:before="80" w:after="80"/>
        <w:contextualSpacing w:val="0"/>
        <w:jc w:val="both"/>
        <w:rPr>
          <w:lang w:val="es-MX"/>
        </w:rPr>
      </w:pPr>
      <w:r w:rsidRPr="00B24A1F">
        <w:rPr>
          <w:lang w:val="es-MX"/>
        </w:rPr>
        <w:t>Se dará un periodo mínimo de maduración a la política establecido por la Gerencia de TI.</w:t>
      </w:r>
    </w:p>
    <w:p w14:paraId="6C425054" w14:textId="77777777" w:rsidR="00B24A1F" w:rsidRPr="00B24A1F" w:rsidRDefault="00B24A1F" w:rsidP="00B24A1F">
      <w:pPr>
        <w:pStyle w:val="Prrafodelista"/>
        <w:numPr>
          <w:ilvl w:val="2"/>
          <w:numId w:val="2"/>
        </w:numPr>
        <w:spacing w:before="80" w:after="80"/>
        <w:contextualSpacing w:val="0"/>
        <w:jc w:val="both"/>
        <w:rPr>
          <w:lang w:val="es-MX"/>
        </w:rPr>
      </w:pPr>
      <w:r w:rsidRPr="00B24A1F">
        <w:rPr>
          <w:lang w:val="es-MX"/>
        </w:rPr>
        <w:t>Es responsabilidad del dueño de este documento revisar al menos una vez al año que este se encuentra   actualizado y revisado.</w:t>
      </w:r>
    </w:p>
    <w:p w14:paraId="127C1643" w14:textId="77777777" w:rsidR="00E640E1" w:rsidRDefault="00E640E1" w:rsidP="00B24A1F">
      <w:pPr>
        <w:pStyle w:val="Prrafodelista"/>
        <w:spacing w:before="60" w:after="60"/>
        <w:ind w:left="1800"/>
        <w:jc w:val="both"/>
        <w:rPr>
          <w:lang w:val="es-MX"/>
        </w:rPr>
      </w:pPr>
    </w:p>
    <w:p w14:paraId="7B5FFF55" w14:textId="77777777" w:rsidR="00B24A1F" w:rsidRDefault="00B24A1F" w:rsidP="00B24A1F">
      <w:pPr>
        <w:pStyle w:val="Prrafodelista"/>
        <w:spacing w:before="60" w:after="60"/>
        <w:ind w:left="1800"/>
        <w:jc w:val="both"/>
        <w:rPr>
          <w:lang w:val="es-MX"/>
        </w:rPr>
      </w:pPr>
    </w:p>
    <w:p w14:paraId="45DA4333" w14:textId="77777777" w:rsidR="00B24A1F" w:rsidRDefault="00B24A1F" w:rsidP="00B24A1F">
      <w:pPr>
        <w:pStyle w:val="Prrafodelista"/>
        <w:spacing w:before="60" w:after="60"/>
        <w:ind w:left="1800"/>
        <w:jc w:val="both"/>
        <w:rPr>
          <w:lang w:val="es-MX"/>
        </w:rPr>
      </w:pPr>
    </w:p>
    <w:p w14:paraId="7774CD88" w14:textId="77777777" w:rsidR="00B24A1F" w:rsidRDefault="00B24A1F" w:rsidP="00B24A1F">
      <w:pPr>
        <w:pStyle w:val="Prrafodelista"/>
        <w:spacing w:before="60" w:after="60"/>
        <w:ind w:left="1800"/>
        <w:jc w:val="both"/>
        <w:rPr>
          <w:lang w:val="es-MX"/>
        </w:rPr>
      </w:pPr>
    </w:p>
    <w:p w14:paraId="5FD2F138" w14:textId="77777777" w:rsidR="00B24A1F" w:rsidRDefault="00B24A1F" w:rsidP="00B24A1F">
      <w:pPr>
        <w:pStyle w:val="Prrafodelista"/>
        <w:spacing w:before="60" w:after="60"/>
        <w:ind w:left="1800"/>
        <w:jc w:val="both"/>
        <w:rPr>
          <w:lang w:val="es-MX"/>
        </w:rPr>
      </w:pPr>
    </w:p>
    <w:p w14:paraId="620FAA49" w14:textId="77777777" w:rsidR="00B24A1F" w:rsidRDefault="00B24A1F" w:rsidP="00B24A1F">
      <w:pPr>
        <w:pStyle w:val="Prrafodelista"/>
        <w:spacing w:before="60" w:after="60"/>
        <w:ind w:left="1800"/>
        <w:jc w:val="both"/>
        <w:rPr>
          <w:lang w:val="es-MX"/>
        </w:rPr>
      </w:pPr>
    </w:p>
    <w:p w14:paraId="625536E4" w14:textId="77777777" w:rsidR="00B24A1F" w:rsidRDefault="00B24A1F" w:rsidP="00B24A1F">
      <w:pPr>
        <w:pStyle w:val="Prrafodelista"/>
        <w:spacing w:before="60" w:after="60"/>
        <w:ind w:left="1800"/>
        <w:jc w:val="both"/>
        <w:rPr>
          <w:lang w:val="es-MX"/>
        </w:rPr>
      </w:pPr>
    </w:p>
    <w:p w14:paraId="5EF9DBE2" w14:textId="77777777" w:rsidR="00B24A1F" w:rsidRDefault="00B24A1F" w:rsidP="00B24A1F">
      <w:pPr>
        <w:pStyle w:val="Prrafodelista"/>
        <w:spacing w:before="60" w:after="60"/>
        <w:ind w:left="1800"/>
        <w:jc w:val="both"/>
        <w:rPr>
          <w:lang w:val="es-MX"/>
        </w:rPr>
      </w:pPr>
    </w:p>
    <w:p w14:paraId="5CA769C0" w14:textId="77777777" w:rsidR="00B24A1F" w:rsidRDefault="00B24A1F" w:rsidP="00B24A1F">
      <w:pPr>
        <w:pStyle w:val="Prrafodelista"/>
        <w:spacing w:before="60" w:after="60"/>
        <w:ind w:left="1800"/>
        <w:jc w:val="both"/>
        <w:rPr>
          <w:lang w:val="es-MX"/>
        </w:rPr>
      </w:pPr>
    </w:p>
    <w:p w14:paraId="572B9702" w14:textId="77777777" w:rsidR="00B24A1F" w:rsidRDefault="00B24A1F" w:rsidP="00B24A1F">
      <w:pPr>
        <w:pStyle w:val="Prrafodelista"/>
        <w:spacing w:before="60" w:after="60"/>
        <w:ind w:left="1800"/>
        <w:jc w:val="both"/>
        <w:rPr>
          <w:lang w:val="es-MX"/>
        </w:rPr>
      </w:pPr>
    </w:p>
    <w:p w14:paraId="2BD1A2E2" w14:textId="77777777" w:rsidR="00B24A1F" w:rsidRDefault="00B24A1F" w:rsidP="00B24A1F">
      <w:pPr>
        <w:pStyle w:val="Prrafodelista"/>
        <w:spacing w:before="60" w:after="60"/>
        <w:ind w:left="1800"/>
        <w:jc w:val="both"/>
        <w:rPr>
          <w:lang w:val="es-MX"/>
        </w:rPr>
      </w:pPr>
    </w:p>
    <w:p w14:paraId="72523591" w14:textId="77777777" w:rsidR="00B24A1F" w:rsidRDefault="00B24A1F" w:rsidP="00B24A1F">
      <w:pPr>
        <w:pStyle w:val="Prrafodelista"/>
        <w:spacing w:before="60" w:after="60"/>
        <w:ind w:left="1800"/>
        <w:jc w:val="both"/>
        <w:rPr>
          <w:lang w:val="es-MX"/>
        </w:rPr>
      </w:pPr>
    </w:p>
    <w:p w14:paraId="1D53F5A4" w14:textId="77777777" w:rsidR="00B24A1F" w:rsidRDefault="00B24A1F" w:rsidP="00B24A1F">
      <w:pPr>
        <w:pStyle w:val="Prrafodelista"/>
        <w:spacing w:before="60" w:after="60"/>
        <w:ind w:left="1800"/>
        <w:jc w:val="both"/>
        <w:rPr>
          <w:lang w:val="es-MX"/>
        </w:rPr>
      </w:pPr>
    </w:p>
    <w:p w14:paraId="52933D58" w14:textId="77777777" w:rsidR="00B24A1F" w:rsidRDefault="00B24A1F" w:rsidP="00B24A1F">
      <w:pPr>
        <w:pStyle w:val="Prrafodelista"/>
        <w:spacing w:before="60" w:after="60"/>
        <w:ind w:left="1800"/>
        <w:jc w:val="both"/>
        <w:rPr>
          <w:lang w:val="es-MX"/>
        </w:rPr>
      </w:pPr>
    </w:p>
    <w:p w14:paraId="612FF79D" w14:textId="77777777" w:rsidR="00B24A1F" w:rsidRDefault="00B24A1F" w:rsidP="00B24A1F">
      <w:pPr>
        <w:pStyle w:val="Prrafodelista"/>
        <w:spacing w:before="60" w:after="60"/>
        <w:ind w:left="1800"/>
        <w:jc w:val="both"/>
        <w:rPr>
          <w:lang w:val="es-MX"/>
        </w:rPr>
      </w:pPr>
    </w:p>
    <w:p w14:paraId="62D0C232" w14:textId="77777777" w:rsidR="00B24A1F" w:rsidRPr="00E640E1" w:rsidRDefault="00B24A1F" w:rsidP="00B24A1F">
      <w:pPr>
        <w:pStyle w:val="Prrafodelista"/>
        <w:spacing w:before="60" w:after="60"/>
        <w:ind w:left="1800"/>
        <w:jc w:val="both"/>
        <w:rPr>
          <w:lang w:val="es-MX"/>
        </w:rPr>
      </w:pPr>
    </w:p>
    <w:p w14:paraId="47B06136" w14:textId="5E700055" w:rsidR="00E640E1" w:rsidRDefault="00E640E1" w:rsidP="00E640E1">
      <w:pPr>
        <w:spacing w:before="60" w:after="60"/>
        <w:ind w:left="1440"/>
        <w:jc w:val="both"/>
        <w:rPr>
          <w:lang w:val="es-MX"/>
        </w:rPr>
      </w:pPr>
    </w:p>
    <w:p w14:paraId="09C9A2B6" w14:textId="49ECFCF4" w:rsidR="00FE7781" w:rsidRDefault="00FE7781" w:rsidP="00E640E1">
      <w:pPr>
        <w:spacing w:before="60" w:after="60"/>
        <w:ind w:left="1440"/>
        <w:jc w:val="both"/>
        <w:rPr>
          <w:lang w:val="es-MX"/>
        </w:rPr>
      </w:pPr>
    </w:p>
    <w:p w14:paraId="23B0FBA7" w14:textId="7CE75B3D" w:rsidR="00FE7781" w:rsidRDefault="00FE7781" w:rsidP="00E640E1">
      <w:pPr>
        <w:spacing w:before="60" w:after="60"/>
        <w:ind w:left="1440"/>
        <w:jc w:val="both"/>
        <w:rPr>
          <w:lang w:val="es-MX"/>
        </w:rPr>
      </w:pPr>
    </w:p>
    <w:p w14:paraId="52A41D2F" w14:textId="77777777" w:rsidR="00FE7781" w:rsidRPr="00E640E1" w:rsidRDefault="00FE7781" w:rsidP="00E640E1">
      <w:pPr>
        <w:spacing w:before="60" w:after="60"/>
        <w:ind w:left="1440"/>
        <w:jc w:val="both"/>
        <w:rPr>
          <w:lang w:val="es-MX"/>
        </w:rPr>
      </w:pPr>
      <w:bookmarkStart w:id="0" w:name="_GoBack"/>
      <w:bookmarkEnd w:id="0"/>
    </w:p>
    <w:p w14:paraId="094807FB" w14:textId="77777777" w:rsidR="00F61F05" w:rsidRPr="00F61F05" w:rsidRDefault="00F61F05" w:rsidP="00F61F05">
      <w:pPr>
        <w:overflowPunct/>
        <w:autoSpaceDE/>
        <w:autoSpaceDN/>
        <w:adjustRightInd/>
        <w:spacing w:before="100" w:beforeAutospacing="1" w:after="240"/>
        <w:ind w:left="1276"/>
        <w:jc w:val="both"/>
        <w:textAlignment w:val="auto"/>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6B07B1FF" w14:textId="2A83B256" w:rsidR="00B24A1F" w:rsidRPr="00B24A1F" w:rsidRDefault="00B24A1F" w:rsidP="00B24A1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B24A1F">
        <w:rPr>
          <w:rFonts w:cs="Arial"/>
          <w:b/>
          <w:bCs/>
          <w:sz w:val="22"/>
          <w:szCs w:val="22"/>
          <w:lang w:val="es-MX"/>
        </w:rPr>
        <w:t>Glosario</w:t>
      </w:r>
    </w:p>
    <w:p w14:paraId="5774C5C7" w14:textId="76C574A0" w:rsidR="005D4C18" w:rsidRPr="005D4C18" w:rsidRDefault="005D4C18" w:rsidP="005D4C18">
      <w:pPr>
        <w:pStyle w:val="Encabezado"/>
        <w:numPr>
          <w:ilvl w:val="1"/>
          <w:numId w:val="2"/>
        </w:numPr>
        <w:spacing w:beforeLines="50" w:before="120" w:afterLines="50" w:after="120"/>
        <w:jc w:val="both"/>
        <w:rPr>
          <w:rFonts w:cs="Arial"/>
          <w:lang w:val="es-MX"/>
        </w:rPr>
      </w:pPr>
      <w:r w:rsidRPr="005D4C18">
        <w:rPr>
          <w:rFonts w:cs="Arial"/>
          <w:b/>
          <w:bCs/>
          <w:lang w:val="es-MX"/>
        </w:rPr>
        <w:t>Medio de almacenamiento autorizado:</w:t>
      </w:r>
      <w:r w:rsidRPr="005D4C18">
        <w:rPr>
          <w:rFonts w:cs="Arial"/>
          <w:lang w:val="es-MX"/>
        </w:rPr>
        <w:t xml:space="preserve"> Dispositivos de almacenamiento donde se resguardará la información, tales como: Cintas magnéticas, Espacio en disco y almacenamiento en la nube. Todos ellos autorizados, siempre y cuando la información almacenada en ellos este encriptada.</w:t>
      </w:r>
    </w:p>
    <w:p w14:paraId="29BB98B7" w14:textId="334BDB90" w:rsidR="005D4C18" w:rsidRPr="005D4C18" w:rsidRDefault="005D4C18" w:rsidP="005D4C18">
      <w:pPr>
        <w:pStyle w:val="Encabezado"/>
        <w:numPr>
          <w:ilvl w:val="1"/>
          <w:numId w:val="2"/>
        </w:numPr>
        <w:spacing w:beforeLines="50" w:before="120" w:afterLines="50" w:after="120"/>
        <w:jc w:val="both"/>
        <w:rPr>
          <w:rFonts w:cs="Arial"/>
          <w:lang w:val="es-MX"/>
        </w:rPr>
      </w:pPr>
      <w:r w:rsidRPr="005D4C18">
        <w:rPr>
          <w:rFonts w:cs="Arial"/>
          <w:b/>
          <w:bCs/>
          <w:lang w:val="es-MX"/>
        </w:rPr>
        <w:t>Ubicación física de respaldos:</w:t>
      </w:r>
      <w:r w:rsidRPr="005D4C18">
        <w:rPr>
          <w:rFonts w:cs="Arial"/>
          <w:lang w:val="es-MX"/>
        </w:rPr>
        <w:t xml:space="preserve"> Sitio en el cual se encuentran los medios de almacenamiento, de los cuales se cuenta con dos ubicaciones locales: una el centro de datos del corporativo, una en el centro de datos Alterno y otra en los servicios de almacenamiento en la nube de AWS.</w:t>
      </w:r>
    </w:p>
    <w:p w14:paraId="1CFD3458" w14:textId="097A0D51" w:rsidR="005D4C18" w:rsidRPr="005D4C18" w:rsidRDefault="005D4C18" w:rsidP="005D4C18">
      <w:pPr>
        <w:pStyle w:val="Encabezado"/>
        <w:numPr>
          <w:ilvl w:val="1"/>
          <w:numId w:val="2"/>
        </w:numPr>
        <w:spacing w:beforeLines="50" w:before="120" w:afterLines="50" w:after="120"/>
        <w:jc w:val="both"/>
        <w:rPr>
          <w:rFonts w:cs="Arial"/>
          <w:lang w:val="es-MX"/>
        </w:rPr>
      </w:pPr>
      <w:r w:rsidRPr="005D4C18">
        <w:rPr>
          <w:rFonts w:cs="Arial"/>
          <w:b/>
          <w:bCs/>
          <w:lang w:val="es-MX"/>
        </w:rPr>
        <w:t>Respaldo:</w:t>
      </w:r>
      <w:r w:rsidRPr="005D4C18">
        <w:rPr>
          <w:rFonts w:cs="Arial"/>
          <w:lang w:val="es-MX"/>
        </w:rPr>
        <w:t xml:space="preserve"> Se refiere al resguardo que se realiza de ciertos datos o información.</w:t>
      </w:r>
    </w:p>
    <w:p w14:paraId="38CDE138" w14:textId="77777777" w:rsidR="005D4C18" w:rsidRDefault="005D4C18" w:rsidP="005D4C18">
      <w:pPr>
        <w:pStyle w:val="Encabezado"/>
        <w:numPr>
          <w:ilvl w:val="1"/>
          <w:numId w:val="2"/>
        </w:numPr>
        <w:spacing w:beforeLines="50" w:before="120" w:afterLines="50" w:after="120"/>
        <w:jc w:val="both"/>
        <w:rPr>
          <w:rFonts w:cs="Arial"/>
          <w:lang w:val="es-MX"/>
        </w:rPr>
      </w:pPr>
      <w:r w:rsidRPr="005D4C18">
        <w:rPr>
          <w:rFonts w:cs="Arial"/>
          <w:b/>
          <w:bCs/>
          <w:lang w:val="es-MX"/>
        </w:rPr>
        <w:t>Host:</w:t>
      </w:r>
      <w:r w:rsidRPr="005D4C18">
        <w:rPr>
          <w:rFonts w:cs="Arial"/>
          <w:lang w:val="es-MX"/>
        </w:rPr>
        <w:t xml:space="preserve"> Es un equipo de cómputo que funciona como el punto de inicio y final de las transferencias de datos. Más comunes descrito como el lugar donde reside un sitio web.</w:t>
      </w:r>
    </w:p>
    <w:p w14:paraId="1CD821CF" w14:textId="77777777" w:rsidR="00665745" w:rsidRPr="005D4C18" w:rsidRDefault="00665745" w:rsidP="00665745">
      <w:pPr>
        <w:pStyle w:val="Encabezado"/>
        <w:spacing w:beforeLines="50" w:before="120" w:afterLines="50" w:after="120"/>
        <w:ind w:left="1080"/>
        <w:jc w:val="both"/>
        <w:rPr>
          <w:rFonts w:cs="Arial"/>
          <w:lang w:val="es-MX"/>
        </w:rPr>
      </w:pPr>
    </w:p>
    <w:p w14:paraId="2A8B58E1" w14:textId="4991CDAA" w:rsidR="00B24A1F" w:rsidRPr="00665745" w:rsidRDefault="00665745" w:rsidP="00665745">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665745">
        <w:rPr>
          <w:rFonts w:cs="Arial"/>
          <w:b/>
          <w:bCs/>
          <w:sz w:val="22"/>
          <w:szCs w:val="22"/>
          <w:lang w:val="es-MX"/>
        </w:rPr>
        <w:t>Anexos</w:t>
      </w:r>
    </w:p>
    <w:p w14:paraId="01E24948" w14:textId="795A73D8" w:rsidR="005347BB" w:rsidRDefault="005347BB" w:rsidP="005347BB">
      <w:pPr>
        <w:pStyle w:val="Prrafodelista"/>
        <w:numPr>
          <w:ilvl w:val="1"/>
          <w:numId w:val="2"/>
        </w:numPr>
        <w:jc w:val="both"/>
        <w:rPr>
          <w:rFonts w:cs="Arial"/>
          <w:lang w:val="es-MX"/>
        </w:rPr>
      </w:pPr>
      <w:r w:rsidRPr="005347BB">
        <w:rPr>
          <w:rFonts w:cs="Arial"/>
          <w:b/>
          <w:bCs/>
          <w:lang w:val="es-MX"/>
        </w:rPr>
        <w:t>Anexo 1.</w:t>
      </w:r>
      <w:r w:rsidRPr="005347BB">
        <w:rPr>
          <w:rFonts w:cs="Arial"/>
          <w:lang w:val="es-MX"/>
        </w:rPr>
        <w:t xml:space="preserve"> Listado de sistemas con respaldos. La tabla siguiente muestra el listado de los servidores que participan en la operación del Monedero Electrónico XIGA</w:t>
      </w:r>
      <w:r>
        <w:rPr>
          <w:rFonts w:cs="Arial"/>
          <w:lang w:val="es-MX"/>
        </w:rPr>
        <w:t>.</w:t>
      </w:r>
    </w:p>
    <w:p w14:paraId="13D439F9" w14:textId="77777777" w:rsidR="005347BB" w:rsidRPr="005347BB" w:rsidRDefault="005347BB" w:rsidP="005347BB">
      <w:pPr>
        <w:pStyle w:val="Prrafodelista"/>
        <w:ind w:left="1080"/>
        <w:jc w:val="both"/>
        <w:rPr>
          <w:rFonts w:cs="Arial"/>
          <w:lang w:val="es-MX"/>
        </w:rPr>
      </w:pPr>
    </w:p>
    <w:tbl>
      <w:tblPr>
        <w:tblW w:w="850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462"/>
        <w:gridCol w:w="3150"/>
        <w:gridCol w:w="2888"/>
      </w:tblGrid>
      <w:tr w:rsidR="005347BB" w:rsidRPr="007379E6" w14:paraId="3E3AEA7F" w14:textId="77777777" w:rsidTr="00992D4B">
        <w:trPr>
          <w:trHeight w:val="536"/>
          <w:jc w:val="center"/>
        </w:trPr>
        <w:tc>
          <w:tcPr>
            <w:tcW w:w="2462" w:type="dxa"/>
            <w:vAlign w:val="center"/>
          </w:tcPr>
          <w:p w14:paraId="653017D0" w14:textId="059DDFF6" w:rsidR="005347BB" w:rsidRPr="007379E6" w:rsidRDefault="005347BB" w:rsidP="00287ABE">
            <w:pPr>
              <w:spacing w:line="260" w:lineRule="auto"/>
              <w:jc w:val="center"/>
              <w:rPr>
                <w:rFonts w:cs="Arial"/>
                <w:b/>
                <w:color w:val="000000"/>
                <w:lang w:val="es-MX"/>
              </w:rPr>
            </w:pPr>
            <w:r>
              <w:rPr>
                <w:rFonts w:cs="Arial"/>
                <w:b/>
                <w:color w:val="000000"/>
                <w:lang w:val="es-MX"/>
              </w:rPr>
              <w:t>Nombre del servidor</w:t>
            </w:r>
          </w:p>
        </w:tc>
        <w:tc>
          <w:tcPr>
            <w:tcW w:w="3150" w:type="dxa"/>
            <w:vAlign w:val="center"/>
          </w:tcPr>
          <w:p w14:paraId="010E8066" w14:textId="533980C2" w:rsidR="005347BB" w:rsidRPr="007379E6" w:rsidRDefault="005347BB" w:rsidP="00287ABE">
            <w:pPr>
              <w:spacing w:line="260" w:lineRule="auto"/>
              <w:jc w:val="center"/>
              <w:rPr>
                <w:rFonts w:cs="Arial"/>
                <w:b/>
                <w:color w:val="000000"/>
                <w:lang w:val="es-MX"/>
              </w:rPr>
            </w:pPr>
            <w:r>
              <w:rPr>
                <w:rFonts w:cs="Arial"/>
                <w:b/>
                <w:color w:val="000000"/>
                <w:lang w:val="es-MX"/>
              </w:rPr>
              <w:t>Dirección IP</w:t>
            </w:r>
          </w:p>
        </w:tc>
        <w:tc>
          <w:tcPr>
            <w:tcW w:w="2888" w:type="dxa"/>
            <w:vAlign w:val="center"/>
          </w:tcPr>
          <w:p w14:paraId="246089DF" w14:textId="5D24591A" w:rsidR="005347BB" w:rsidRPr="007379E6" w:rsidRDefault="005347BB" w:rsidP="00287ABE">
            <w:pPr>
              <w:spacing w:line="260" w:lineRule="auto"/>
              <w:jc w:val="center"/>
              <w:rPr>
                <w:rFonts w:cs="Arial"/>
                <w:b/>
                <w:color w:val="000000"/>
                <w:lang w:val="es-MX"/>
              </w:rPr>
            </w:pPr>
            <w:r>
              <w:rPr>
                <w:rFonts w:cs="Arial"/>
                <w:b/>
                <w:color w:val="000000"/>
                <w:lang w:val="es-MX"/>
              </w:rPr>
              <w:t>Función</w:t>
            </w:r>
          </w:p>
        </w:tc>
      </w:tr>
      <w:tr w:rsidR="00992D4B" w:rsidRPr="007379E6" w14:paraId="52D76E27" w14:textId="77777777" w:rsidTr="00992D4B">
        <w:trPr>
          <w:trHeight w:val="320"/>
          <w:jc w:val="center"/>
        </w:trPr>
        <w:tc>
          <w:tcPr>
            <w:tcW w:w="2462" w:type="dxa"/>
          </w:tcPr>
          <w:p w14:paraId="7542EF96" w14:textId="50494225" w:rsidR="00992D4B" w:rsidRPr="007379E6" w:rsidRDefault="00992D4B" w:rsidP="00992D4B">
            <w:pPr>
              <w:spacing w:line="260" w:lineRule="auto"/>
              <w:jc w:val="center"/>
              <w:rPr>
                <w:lang w:val="es-MX"/>
              </w:rPr>
            </w:pPr>
            <w:r w:rsidRPr="003D05B3">
              <w:t>SRV-NNEXUS-DB</w:t>
            </w:r>
          </w:p>
        </w:tc>
        <w:tc>
          <w:tcPr>
            <w:tcW w:w="3150" w:type="dxa"/>
          </w:tcPr>
          <w:p w14:paraId="23EE4B73" w14:textId="0B0B676C" w:rsidR="00992D4B" w:rsidRPr="007379E6" w:rsidRDefault="00992D4B" w:rsidP="00992D4B">
            <w:pPr>
              <w:pStyle w:val="Encabezado"/>
              <w:spacing w:line="260" w:lineRule="auto"/>
              <w:jc w:val="center"/>
              <w:rPr>
                <w:lang w:val="es-MX"/>
              </w:rPr>
            </w:pPr>
            <w:r w:rsidRPr="003D05B3">
              <w:t>10.255.248.14</w:t>
            </w:r>
          </w:p>
        </w:tc>
        <w:tc>
          <w:tcPr>
            <w:tcW w:w="2888" w:type="dxa"/>
          </w:tcPr>
          <w:p w14:paraId="07D13B4B" w14:textId="31530CB5" w:rsidR="00992D4B" w:rsidRPr="007379E6" w:rsidRDefault="00992D4B" w:rsidP="00992D4B">
            <w:pPr>
              <w:spacing w:line="260" w:lineRule="auto"/>
              <w:jc w:val="center"/>
              <w:rPr>
                <w:rFonts w:cs="Arial"/>
                <w:color w:val="000000"/>
                <w:lang w:val="es-MX"/>
              </w:rPr>
            </w:pPr>
            <w:r w:rsidRPr="003D05B3">
              <w:t xml:space="preserve">Monedero Base de </w:t>
            </w:r>
            <w:proofErr w:type="spellStart"/>
            <w:r w:rsidRPr="003D05B3">
              <w:t>Datos</w:t>
            </w:r>
            <w:proofErr w:type="spellEnd"/>
          </w:p>
        </w:tc>
      </w:tr>
      <w:tr w:rsidR="00992D4B" w:rsidRPr="007379E6" w14:paraId="4AF33D91" w14:textId="77777777" w:rsidTr="00992D4B">
        <w:trPr>
          <w:trHeight w:val="320"/>
          <w:jc w:val="center"/>
        </w:trPr>
        <w:tc>
          <w:tcPr>
            <w:tcW w:w="2462" w:type="dxa"/>
          </w:tcPr>
          <w:p w14:paraId="23870760" w14:textId="5A1B5644" w:rsidR="00992D4B" w:rsidRDefault="00992D4B" w:rsidP="00992D4B">
            <w:pPr>
              <w:spacing w:line="260" w:lineRule="auto"/>
              <w:jc w:val="center"/>
              <w:rPr>
                <w:lang w:val="es-MX"/>
              </w:rPr>
            </w:pPr>
            <w:r w:rsidRPr="003D05B3">
              <w:t>SRV-NNEXUS-APP</w:t>
            </w:r>
          </w:p>
        </w:tc>
        <w:tc>
          <w:tcPr>
            <w:tcW w:w="3150" w:type="dxa"/>
          </w:tcPr>
          <w:p w14:paraId="0E32BECD" w14:textId="65C958BA" w:rsidR="00992D4B" w:rsidRDefault="00992D4B" w:rsidP="00992D4B">
            <w:pPr>
              <w:pStyle w:val="Encabezado"/>
              <w:spacing w:line="260" w:lineRule="auto"/>
              <w:jc w:val="center"/>
              <w:rPr>
                <w:lang w:val="es-MX"/>
              </w:rPr>
            </w:pPr>
            <w:r w:rsidRPr="003D05B3">
              <w:t>10.255.248.32</w:t>
            </w:r>
          </w:p>
        </w:tc>
        <w:tc>
          <w:tcPr>
            <w:tcW w:w="2888" w:type="dxa"/>
          </w:tcPr>
          <w:p w14:paraId="4BCE788B" w14:textId="785DB23B" w:rsidR="00992D4B" w:rsidRDefault="00992D4B" w:rsidP="00992D4B">
            <w:pPr>
              <w:spacing w:line="260" w:lineRule="auto"/>
              <w:jc w:val="center"/>
              <w:rPr>
                <w:rFonts w:cs="Arial"/>
                <w:color w:val="000000"/>
                <w:lang w:val="es-MX"/>
              </w:rPr>
            </w:pPr>
            <w:r w:rsidRPr="003D05B3">
              <w:t xml:space="preserve">Monedero </w:t>
            </w:r>
            <w:proofErr w:type="spellStart"/>
            <w:r w:rsidRPr="003D05B3">
              <w:t>Aplicación</w:t>
            </w:r>
            <w:proofErr w:type="spellEnd"/>
          </w:p>
        </w:tc>
      </w:tr>
      <w:tr w:rsidR="00992D4B" w:rsidRPr="007379E6" w14:paraId="794C8393" w14:textId="77777777" w:rsidTr="00992D4B">
        <w:trPr>
          <w:trHeight w:val="320"/>
          <w:jc w:val="center"/>
        </w:trPr>
        <w:tc>
          <w:tcPr>
            <w:tcW w:w="2462" w:type="dxa"/>
          </w:tcPr>
          <w:p w14:paraId="3ECF0054" w14:textId="3D8B7965" w:rsidR="00992D4B" w:rsidRDefault="00992D4B" w:rsidP="00992D4B">
            <w:pPr>
              <w:spacing w:line="260" w:lineRule="auto"/>
              <w:jc w:val="center"/>
              <w:rPr>
                <w:lang w:val="es-MX"/>
              </w:rPr>
            </w:pPr>
            <w:r w:rsidRPr="003D05B3">
              <w:t>SRV-NAS</w:t>
            </w:r>
          </w:p>
        </w:tc>
        <w:tc>
          <w:tcPr>
            <w:tcW w:w="3150" w:type="dxa"/>
          </w:tcPr>
          <w:p w14:paraId="264C7B25" w14:textId="2ABCEA30" w:rsidR="00992D4B" w:rsidRDefault="00992D4B" w:rsidP="00992D4B">
            <w:pPr>
              <w:pStyle w:val="Encabezado"/>
              <w:spacing w:line="260" w:lineRule="auto"/>
              <w:jc w:val="center"/>
              <w:rPr>
                <w:lang w:val="es-MX"/>
              </w:rPr>
            </w:pPr>
            <w:r w:rsidRPr="003D05B3">
              <w:t>10.255.239.10</w:t>
            </w:r>
          </w:p>
        </w:tc>
        <w:tc>
          <w:tcPr>
            <w:tcW w:w="2888" w:type="dxa"/>
          </w:tcPr>
          <w:p w14:paraId="5F1D121B" w14:textId="2C710CC1" w:rsidR="00992D4B" w:rsidRDefault="00992D4B" w:rsidP="00992D4B">
            <w:pPr>
              <w:spacing w:line="260" w:lineRule="auto"/>
              <w:jc w:val="center"/>
              <w:rPr>
                <w:rFonts w:cs="Arial"/>
                <w:color w:val="000000"/>
                <w:lang w:val="es-MX"/>
              </w:rPr>
            </w:pPr>
            <w:proofErr w:type="spellStart"/>
            <w:r w:rsidRPr="003D05B3">
              <w:t>Almacenamiento</w:t>
            </w:r>
            <w:proofErr w:type="spellEnd"/>
            <w:r w:rsidRPr="003D05B3">
              <w:t xml:space="preserve"> de red</w:t>
            </w:r>
          </w:p>
        </w:tc>
      </w:tr>
      <w:tr w:rsidR="00992D4B" w:rsidRPr="007379E6" w14:paraId="4EB9927D" w14:textId="77777777" w:rsidTr="00992D4B">
        <w:trPr>
          <w:trHeight w:val="320"/>
          <w:jc w:val="center"/>
        </w:trPr>
        <w:tc>
          <w:tcPr>
            <w:tcW w:w="2462" w:type="dxa"/>
          </w:tcPr>
          <w:p w14:paraId="09839F75" w14:textId="08030F60" w:rsidR="00992D4B" w:rsidRDefault="00992D4B" w:rsidP="00992D4B">
            <w:pPr>
              <w:spacing w:line="260" w:lineRule="auto"/>
              <w:jc w:val="center"/>
              <w:rPr>
                <w:lang w:val="es-MX"/>
              </w:rPr>
            </w:pPr>
            <w:r w:rsidRPr="003D05B3">
              <w:t>SRV-MOVIL</w:t>
            </w:r>
          </w:p>
        </w:tc>
        <w:tc>
          <w:tcPr>
            <w:tcW w:w="3150" w:type="dxa"/>
          </w:tcPr>
          <w:p w14:paraId="1988F039" w14:textId="78717F62" w:rsidR="00992D4B" w:rsidRDefault="00992D4B" w:rsidP="00992D4B">
            <w:pPr>
              <w:pStyle w:val="Encabezado"/>
              <w:spacing w:line="260" w:lineRule="auto"/>
              <w:jc w:val="center"/>
              <w:rPr>
                <w:lang w:val="es-MX"/>
              </w:rPr>
            </w:pPr>
            <w:r w:rsidRPr="003D05B3">
              <w:t>10.255.248.42</w:t>
            </w:r>
          </w:p>
        </w:tc>
        <w:tc>
          <w:tcPr>
            <w:tcW w:w="2888" w:type="dxa"/>
          </w:tcPr>
          <w:p w14:paraId="35746E55" w14:textId="3530C492" w:rsidR="00992D4B" w:rsidRDefault="00992D4B" w:rsidP="00992D4B">
            <w:pPr>
              <w:spacing w:line="260" w:lineRule="auto"/>
              <w:jc w:val="center"/>
              <w:rPr>
                <w:rFonts w:cs="Arial"/>
                <w:color w:val="000000"/>
                <w:lang w:val="es-MX"/>
              </w:rPr>
            </w:pPr>
            <w:proofErr w:type="spellStart"/>
            <w:r w:rsidRPr="003D05B3">
              <w:t>Servicios</w:t>
            </w:r>
            <w:proofErr w:type="spellEnd"/>
            <w:r w:rsidRPr="003D05B3">
              <w:t xml:space="preserve"> Web</w:t>
            </w:r>
          </w:p>
        </w:tc>
      </w:tr>
      <w:tr w:rsidR="00992D4B" w:rsidRPr="007379E6" w14:paraId="75A84E66" w14:textId="77777777" w:rsidTr="00992D4B">
        <w:trPr>
          <w:trHeight w:val="320"/>
          <w:jc w:val="center"/>
        </w:trPr>
        <w:tc>
          <w:tcPr>
            <w:tcW w:w="2462" w:type="dxa"/>
          </w:tcPr>
          <w:p w14:paraId="5B225279" w14:textId="2AF1D328" w:rsidR="00992D4B" w:rsidRDefault="00992D4B" w:rsidP="00992D4B">
            <w:pPr>
              <w:spacing w:line="260" w:lineRule="auto"/>
              <w:jc w:val="center"/>
              <w:rPr>
                <w:lang w:val="es-MX"/>
              </w:rPr>
            </w:pPr>
            <w:r w:rsidRPr="003D05B3">
              <w:t>SRV-CONTPAQ-DB</w:t>
            </w:r>
          </w:p>
        </w:tc>
        <w:tc>
          <w:tcPr>
            <w:tcW w:w="3150" w:type="dxa"/>
          </w:tcPr>
          <w:p w14:paraId="4EC2DE39" w14:textId="1A3E6F43" w:rsidR="00992D4B" w:rsidRDefault="00992D4B" w:rsidP="00992D4B">
            <w:pPr>
              <w:pStyle w:val="Encabezado"/>
              <w:spacing w:line="260" w:lineRule="auto"/>
              <w:jc w:val="center"/>
              <w:rPr>
                <w:lang w:val="es-MX"/>
              </w:rPr>
            </w:pPr>
            <w:r w:rsidRPr="003D05B3">
              <w:t>10.255.248.156</w:t>
            </w:r>
          </w:p>
        </w:tc>
        <w:tc>
          <w:tcPr>
            <w:tcW w:w="2888" w:type="dxa"/>
          </w:tcPr>
          <w:p w14:paraId="24D40A9F" w14:textId="683F2CFD" w:rsidR="00992D4B" w:rsidRDefault="00992D4B" w:rsidP="00992D4B">
            <w:pPr>
              <w:spacing w:line="260" w:lineRule="auto"/>
              <w:jc w:val="center"/>
              <w:rPr>
                <w:rFonts w:cs="Arial"/>
                <w:color w:val="000000"/>
                <w:lang w:val="es-MX"/>
              </w:rPr>
            </w:pPr>
            <w:proofErr w:type="spellStart"/>
            <w:r w:rsidRPr="003D05B3">
              <w:t>Contabilidad</w:t>
            </w:r>
            <w:proofErr w:type="spellEnd"/>
            <w:r w:rsidRPr="003D05B3">
              <w:t xml:space="preserve"> Base de </w:t>
            </w:r>
            <w:proofErr w:type="spellStart"/>
            <w:r w:rsidRPr="003D05B3">
              <w:t>Datos</w:t>
            </w:r>
            <w:proofErr w:type="spellEnd"/>
          </w:p>
        </w:tc>
      </w:tr>
      <w:tr w:rsidR="00992D4B" w:rsidRPr="007379E6" w14:paraId="00EFAA9B" w14:textId="77777777" w:rsidTr="00992D4B">
        <w:trPr>
          <w:trHeight w:val="320"/>
          <w:jc w:val="center"/>
        </w:trPr>
        <w:tc>
          <w:tcPr>
            <w:tcW w:w="2462" w:type="dxa"/>
          </w:tcPr>
          <w:p w14:paraId="794FCEB0" w14:textId="5AADC2F8" w:rsidR="00992D4B" w:rsidRDefault="00992D4B" w:rsidP="00992D4B">
            <w:pPr>
              <w:spacing w:line="260" w:lineRule="auto"/>
              <w:jc w:val="center"/>
              <w:rPr>
                <w:lang w:val="es-MX"/>
              </w:rPr>
            </w:pPr>
            <w:r w:rsidRPr="003D05B3">
              <w:t>SRV-CONTPAQ-APP</w:t>
            </w:r>
          </w:p>
        </w:tc>
        <w:tc>
          <w:tcPr>
            <w:tcW w:w="3150" w:type="dxa"/>
          </w:tcPr>
          <w:p w14:paraId="05B92E34" w14:textId="571D94DC" w:rsidR="00992D4B" w:rsidRDefault="00992D4B" w:rsidP="00992D4B">
            <w:pPr>
              <w:pStyle w:val="Encabezado"/>
              <w:spacing w:line="260" w:lineRule="auto"/>
              <w:jc w:val="center"/>
              <w:rPr>
                <w:lang w:val="es-MX"/>
              </w:rPr>
            </w:pPr>
            <w:r w:rsidRPr="003D05B3">
              <w:t>10.255.248.155</w:t>
            </w:r>
          </w:p>
        </w:tc>
        <w:tc>
          <w:tcPr>
            <w:tcW w:w="2888" w:type="dxa"/>
          </w:tcPr>
          <w:p w14:paraId="2C2E2289" w14:textId="24E4A3ED" w:rsidR="00992D4B" w:rsidRDefault="00992D4B" w:rsidP="00992D4B">
            <w:pPr>
              <w:spacing w:line="260" w:lineRule="auto"/>
              <w:jc w:val="center"/>
              <w:rPr>
                <w:rFonts w:cs="Arial"/>
                <w:color w:val="000000"/>
                <w:lang w:val="es-MX"/>
              </w:rPr>
            </w:pPr>
            <w:proofErr w:type="spellStart"/>
            <w:r w:rsidRPr="003D05B3">
              <w:t>Contabilidad</w:t>
            </w:r>
            <w:proofErr w:type="spellEnd"/>
            <w:r w:rsidRPr="003D05B3">
              <w:t xml:space="preserve"> </w:t>
            </w:r>
            <w:proofErr w:type="spellStart"/>
            <w:r w:rsidRPr="003D05B3">
              <w:t>Aplicación</w:t>
            </w:r>
            <w:proofErr w:type="spellEnd"/>
          </w:p>
        </w:tc>
      </w:tr>
      <w:tr w:rsidR="00992D4B" w:rsidRPr="007379E6" w14:paraId="1544E0A6" w14:textId="77777777" w:rsidTr="00992D4B">
        <w:trPr>
          <w:trHeight w:val="320"/>
          <w:jc w:val="center"/>
        </w:trPr>
        <w:tc>
          <w:tcPr>
            <w:tcW w:w="2462" w:type="dxa"/>
          </w:tcPr>
          <w:p w14:paraId="753EC627" w14:textId="72717311" w:rsidR="00992D4B" w:rsidRDefault="00992D4B" w:rsidP="00992D4B">
            <w:pPr>
              <w:spacing w:line="260" w:lineRule="auto"/>
              <w:jc w:val="center"/>
              <w:rPr>
                <w:lang w:val="es-MX"/>
              </w:rPr>
            </w:pPr>
            <w:r w:rsidRPr="003D05B3">
              <w:t>SRV-TRESS-DB</w:t>
            </w:r>
          </w:p>
        </w:tc>
        <w:tc>
          <w:tcPr>
            <w:tcW w:w="3150" w:type="dxa"/>
          </w:tcPr>
          <w:p w14:paraId="0444C0AE" w14:textId="05584752" w:rsidR="00992D4B" w:rsidRDefault="00992D4B" w:rsidP="00992D4B">
            <w:pPr>
              <w:pStyle w:val="Encabezado"/>
              <w:spacing w:line="260" w:lineRule="auto"/>
              <w:jc w:val="center"/>
              <w:rPr>
                <w:lang w:val="es-MX"/>
              </w:rPr>
            </w:pPr>
            <w:r w:rsidRPr="003D05B3">
              <w:t>10.255.248.96</w:t>
            </w:r>
          </w:p>
        </w:tc>
        <w:tc>
          <w:tcPr>
            <w:tcW w:w="2888" w:type="dxa"/>
          </w:tcPr>
          <w:p w14:paraId="5CA08616" w14:textId="26B4B6E2" w:rsidR="00992D4B" w:rsidRDefault="00992D4B" w:rsidP="00992D4B">
            <w:pPr>
              <w:spacing w:line="260" w:lineRule="auto"/>
              <w:jc w:val="center"/>
              <w:rPr>
                <w:rFonts w:cs="Arial"/>
                <w:color w:val="000000"/>
                <w:lang w:val="es-MX"/>
              </w:rPr>
            </w:pPr>
            <w:r w:rsidRPr="003D05B3">
              <w:t>Nomina Base de Datos</w:t>
            </w:r>
          </w:p>
        </w:tc>
      </w:tr>
      <w:tr w:rsidR="00992D4B" w:rsidRPr="007379E6" w14:paraId="665F89B7" w14:textId="77777777" w:rsidTr="00992D4B">
        <w:trPr>
          <w:trHeight w:val="320"/>
          <w:jc w:val="center"/>
        </w:trPr>
        <w:tc>
          <w:tcPr>
            <w:tcW w:w="2462" w:type="dxa"/>
          </w:tcPr>
          <w:p w14:paraId="7D882387" w14:textId="7DD8C860" w:rsidR="00992D4B" w:rsidRDefault="00992D4B" w:rsidP="00992D4B">
            <w:pPr>
              <w:spacing w:line="260" w:lineRule="auto"/>
              <w:jc w:val="center"/>
              <w:rPr>
                <w:lang w:val="es-MX"/>
              </w:rPr>
            </w:pPr>
            <w:r w:rsidRPr="003D05B3">
              <w:t>SRV-TRESS-APP</w:t>
            </w:r>
          </w:p>
        </w:tc>
        <w:tc>
          <w:tcPr>
            <w:tcW w:w="3150" w:type="dxa"/>
          </w:tcPr>
          <w:p w14:paraId="6AC7E85A" w14:textId="008C07A3" w:rsidR="00992D4B" w:rsidRDefault="00992D4B" w:rsidP="00992D4B">
            <w:pPr>
              <w:pStyle w:val="Encabezado"/>
              <w:spacing w:line="260" w:lineRule="auto"/>
              <w:jc w:val="center"/>
              <w:rPr>
                <w:lang w:val="es-MX"/>
              </w:rPr>
            </w:pPr>
            <w:r w:rsidRPr="003D05B3">
              <w:t>10.255.248.95</w:t>
            </w:r>
          </w:p>
        </w:tc>
        <w:tc>
          <w:tcPr>
            <w:tcW w:w="2888" w:type="dxa"/>
          </w:tcPr>
          <w:p w14:paraId="1229BDB5" w14:textId="170D95F7" w:rsidR="00992D4B" w:rsidRDefault="00992D4B" w:rsidP="00992D4B">
            <w:pPr>
              <w:spacing w:line="260" w:lineRule="auto"/>
              <w:jc w:val="center"/>
              <w:rPr>
                <w:rFonts w:cs="Arial"/>
                <w:color w:val="000000"/>
                <w:lang w:val="es-MX"/>
              </w:rPr>
            </w:pPr>
            <w:proofErr w:type="spellStart"/>
            <w:r w:rsidRPr="003D05B3">
              <w:t>Nomina</w:t>
            </w:r>
            <w:proofErr w:type="spellEnd"/>
            <w:r w:rsidRPr="003D05B3">
              <w:t xml:space="preserve"> </w:t>
            </w:r>
            <w:proofErr w:type="spellStart"/>
            <w:r w:rsidRPr="003D05B3">
              <w:t>Aplicación</w:t>
            </w:r>
            <w:proofErr w:type="spellEnd"/>
          </w:p>
        </w:tc>
      </w:tr>
      <w:tr w:rsidR="0003769E" w:rsidRPr="007379E6" w14:paraId="465F88B4" w14:textId="77777777" w:rsidTr="00992D4B">
        <w:trPr>
          <w:trHeight w:val="320"/>
          <w:jc w:val="center"/>
        </w:trPr>
        <w:tc>
          <w:tcPr>
            <w:tcW w:w="2462" w:type="dxa"/>
          </w:tcPr>
          <w:p w14:paraId="6E2792BD" w14:textId="16A4B388" w:rsidR="0003769E" w:rsidRPr="003D05B3" w:rsidRDefault="0003769E" w:rsidP="0003769E">
            <w:pPr>
              <w:spacing w:line="260" w:lineRule="auto"/>
              <w:jc w:val="center"/>
            </w:pPr>
            <w:r w:rsidRPr="00636676">
              <w:t>SRV-SERVICIOS</w:t>
            </w:r>
          </w:p>
        </w:tc>
        <w:tc>
          <w:tcPr>
            <w:tcW w:w="3150" w:type="dxa"/>
          </w:tcPr>
          <w:p w14:paraId="7F354B7A" w14:textId="47882A1E" w:rsidR="0003769E" w:rsidRPr="003D05B3" w:rsidRDefault="0003769E" w:rsidP="0003769E">
            <w:pPr>
              <w:pStyle w:val="Encabezado"/>
              <w:spacing w:line="260" w:lineRule="auto"/>
              <w:jc w:val="center"/>
            </w:pPr>
            <w:r w:rsidRPr="00636676">
              <w:t>10.255.248.22</w:t>
            </w:r>
          </w:p>
        </w:tc>
        <w:tc>
          <w:tcPr>
            <w:tcW w:w="2888" w:type="dxa"/>
          </w:tcPr>
          <w:p w14:paraId="3A9D7A09" w14:textId="4DC4A633" w:rsidR="0003769E" w:rsidRPr="003D05B3" w:rsidRDefault="0003769E" w:rsidP="0003769E">
            <w:pPr>
              <w:spacing w:line="260" w:lineRule="auto"/>
              <w:jc w:val="center"/>
            </w:pPr>
            <w:proofErr w:type="spellStart"/>
            <w:r w:rsidRPr="00636676">
              <w:t>Servicios</w:t>
            </w:r>
            <w:proofErr w:type="spellEnd"/>
            <w:r w:rsidRPr="00636676">
              <w:t xml:space="preserve"> Web</w:t>
            </w:r>
          </w:p>
        </w:tc>
      </w:tr>
      <w:tr w:rsidR="0003769E" w:rsidRPr="007379E6" w14:paraId="3D00317E" w14:textId="77777777" w:rsidTr="00992D4B">
        <w:trPr>
          <w:trHeight w:val="320"/>
          <w:jc w:val="center"/>
        </w:trPr>
        <w:tc>
          <w:tcPr>
            <w:tcW w:w="2462" w:type="dxa"/>
          </w:tcPr>
          <w:p w14:paraId="680C5564" w14:textId="0C28E28C" w:rsidR="0003769E" w:rsidRPr="003D05B3" w:rsidRDefault="0003769E" w:rsidP="0003769E">
            <w:pPr>
              <w:spacing w:line="260" w:lineRule="auto"/>
              <w:jc w:val="center"/>
            </w:pPr>
            <w:r w:rsidRPr="00636676">
              <w:t>SRV-NWEB</w:t>
            </w:r>
          </w:p>
        </w:tc>
        <w:tc>
          <w:tcPr>
            <w:tcW w:w="3150" w:type="dxa"/>
          </w:tcPr>
          <w:p w14:paraId="3C34D1FE" w14:textId="1787DD8B" w:rsidR="0003769E" w:rsidRPr="003D05B3" w:rsidRDefault="0003769E" w:rsidP="0003769E">
            <w:pPr>
              <w:pStyle w:val="Encabezado"/>
              <w:spacing w:line="260" w:lineRule="auto"/>
              <w:jc w:val="center"/>
            </w:pPr>
            <w:r w:rsidRPr="00636676">
              <w:t>10.255.247.111</w:t>
            </w:r>
          </w:p>
        </w:tc>
        <w:tc>
          <w:tcPr>
            <w:tcW w:w="2888" w:type="dxa"/>
          </w:tcPr>
          <w:p w14:paraId="5168CFFE" w14:textId="524AD850" w:rsidR="0003769E" w:rsidRPr="003D05B3" w:rsidRDefault="0003769E" w:rsidP="0003769E">
            <w:pPr>
              <w:spacing w:line="260" w:lineRule="auto"/>
              <w:jc w:val="center"/>
            </w:pPr>
            <w:r w:rsidRPr="00636676">
              <w:t>Portales web</w:t>
            </w:r>
          </w:p>
        </w:tc>
      </w:tr>
    </w:tbl>
    <w:p w14:paraId="0473ECE7" w14:textId="132114BB" w:rsidR="00665745" w:rsidRPr="00E8237D" w:rsidRDefault="00665745" w:rsidP="005347BB">
      <w:pPr>
        <w:pStyle w:val="Encabezado"/>
        <w:tabs>
          <w:tab w:val="clear" w:pos="4320"/>
          <w:tab w:val="clear" w:pos="8640"/>
        </w:tabs>
        <w:spacing w:beforeLines="50" w:before="120" w:afterLines="50" w:after="120"/>
        <w:ind w:left="720"/>
        <w:jc w:val="both"/>
        <w:rPr>
          <w:rFonts w:cs="Arial"/>
          <w:lang w:val="es-MX"/>
        </w:rPr>
      </w:pPr>
    </w:p>
    <w:sectPr w:rsidR="00665745"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0C768" w14:textId="77777777" w:rsidR="00E5433C" w:rsidRDefault="00E5433C">
      <w:r>
        <w:separator/>
      </w:r>
    </w:p>
  </w:endnote>
  <w:endnote w:type="continuationSeparator" w:id="0">
    <w:p w14:paraId="4D7B7AFC" w14:textId="77777777" w:rsidR="00E5433C" w:rsidRDefault="00E5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180D9A6D"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FE7781">
            <w:rPr>
              <w:rStyle w:val="Nmerodepgina"/>
              <w:rFonts w:cs="Arial"/>
              <w:noProof/>
              <w:sz w:val="16"/>
            </w:rPr>
            <w:t>2</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FE7781">
            <w:rPr>
              <w:rStyle w:val="Nmerodepgina"/>
              <w:rFonts w:cs="Arial"/>
              <w:noProof/>
              <w:sz w:val="16"/>
            </w:rPr>
            <w:t>5</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FE7781"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4D2714DA"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FE7781">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FE7781">
            <w:rPr>
              <w:rStyle w:val="Nmerodepgina"/>
              <w:rFonts w:cs="Arial"/>
              <w:noProof/>
              <w:sz w:val="16"/>
            </w:rPr>
            <w:t>5</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E1AB2" w14:textId="77777777" w:rsidR="00E5433C" w:rsidRDefault="00E5433C">
      <w:r>
        <w:separator/>
      </w:r>
    </w:p>
  </w:footnote>
  <w:footnote w:type="continuationSeparator" w:id="0">
    <w:p w14:paraId="4BB24D05" w14:textId="77777777" w:rsidR="00E5433C" w:rsidRDefault="00E54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E5433C">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FE7781"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E5433C"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E5433C">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FE7781"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2A7C624A" w:rsidR="00F855EF" w:rsidRPr="00CA7845" w:rsidRDefault="00FE7781" w:rsidP="00CA7845">
          <w:pPr>
            <w:overflowPunct/>
            <w:autoSpaceDE/>
            <w:autoSpaceDN/>
            <w:adjustRightInd/>
            <w:jc w:val="center"/>
            <w:textAlignment w:val="auto"/>
            <w:rPr>
              <w:color w:val="000000" w:themeColor="text1"/>
              <w:lang w:val="es-MX"/>
            </w:rPr>
          </w:pPr>
          <w:r w:rsidRPr="00FE7781">
            <w:rPr>
              <w:color w:val="000000" w:themeColor="text1"/>
              <w:lang w:val="es-MX"/>
            </w:rPr>
            <w:t>XMI-A28-POL-19</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6969B446" w:rsidR="00F855EF" w:rsidRPr="00CA7845" w:rsidRDefault="00FE7781"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500E91D3" w:rsidR="00F855EF" w:rsidRPr="00CA7845" w:rsidRDefault="00FE7781" w:rsidP="00872C12">
          <w:pPr>
            <w:jc w:val="center"/>
            <w:rPr>
              <w:color w:val="000000" w:themeColor="text1"/>
              <w:lang w:val="es-MX"/>
            </w:rPr>
          </w:pPr>
          <w:r w:rsidRPr="00FE7781">
            <w:rPr>
              <w:color w:val="000000" w:themeColor="text1"/>
              <w:lang w:val="es-MX"/>
            </w:rPr>
            <w:t>Política de Respaldos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28E89507" w:rsidR="00461A35" w:rsidRPr="00CA7845" w:rsidRDefault="00461A35" w:rsidP="00F855EF">
    <w:pPr>
      <w:rPr>
        <w:color w:val="000000" w:themeColor="text1"/>
        <w:lang w:val="es-MX"/>
      </w:rPr>
    </w:pPr>
    <w:r w:rsidRPr="00CA7845">
      <w:rPr>
        <w:b/>
        <w:color w:val="000000" w:themeColor="text1"/>
        <w:lang w:val="es-MX"/>
      </w:rPr>
      <w:t xml:space="preserve">Requisito aplicable: </w:t>
    </w:r>
    <w:r w:rsidR="00FE7781">
      <w:rPr>
        <w:b/>
        <w:color w:val="000000" w:themeColor="text1"/>
        <w:lang w:val="es-MX"/>
      </w:rPr>
      <w:t>45</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8"/>
  </w:num>
  <w:num w:numId="3">
    <w:abstractNumId w:val="2"/>
  </w:num>
  <w:num w:numId="4">
    <w:abstractNumId w:val="3"/>
  </w:num>
  <w:num w:numId="5">
    <w:abstractNumId w:val="7"/>
  </w:num>
  <w:num w:numId="6">
    <w:abstractNumId w:val="0"/>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69E"/>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D3BE0"/>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777"/>
    <w:rsid w:val="00217C28"/>
    <w:rsid w:val="00224EF9"/>
    <w:rsid w:val="00226116"/>
    <w:rsid w:val="00226A22"/>
    <w:rsid w:val="00230AE5"/>
    <w:rsid w:val="00241F90"/>
    <w:rsid w:val="002514C1"/>
    <w:rsid w:val="0025730C"/>
    <w:rsid w:val="00257B47"/>
    <w:rsid w:val="002638EA"/>
    <w:rsid w:val="00270562"/>
    <w:rsid w:val="0027136D"/>
    <w:rsid w:val="002728CA"/>
    <w:rsid w:val="00276D35"/>
    <w:rsid w:val="00282023"/>
    <w:rsid w:val="00296397"/>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00555"/>
    <w:rsid w:val="003136E3"/>
    <w:rsid w:val="0031400A"/>
    <w:rsid w:val="003152C9"/>
    <w:rsid w:val="00327582"/>
    <w:rsid w:val="003317E4"/>
    <w:rsid w:val="00334AF0"/>
    <w:rsid w:val="003472A3"/>
    <w:rsid w:val="003474D0"/>
    <w:rsid w:val="00355A3E"/>
    <w:rsid w:val="00370324"/>
    <w:rsid w:val="00375A51"/>
    <w:rsid w:val="00380DBB"/>
    <w:rsid w:val="00383352"/>
    <w:rsid w:val="003840CF"/>
    <w:rsid w:val="00386450"/>
    <w:rsid w:val="003962CB"/>
    <w:rsid w:val="003A1BD7"/>
    <w:rsid w:val="003A23D7"/>
    <w:rsid w:val="003B6FFA"/>
    <w:rsid w:val="003C7450"/>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6944"/>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02DFF"/>
    <w:rsid w:val="005105EE"/>
    <w:rsid w:val="005175FE"/>
    <w:rsid w:val="00522EA6"/>
    <w:rsid w:val="00524797"/>
    <w:rsid w:val="0052712A"/>
    <w:rsid w:val="005347BB"/>
    <w:rsid w:val="00544A97"/>
    <w:rsid w:val="0057148E"/>
    <w:rsid w:val="00575495"/>
    <w:rsid w:val="00576301"/>
    <w:rsid w:val="0058488B"/>
    <w:rsid w:val="00587DD0"/>
    <w:rsid w:val="00595320"/>
    <w:rsid w:val="005A79CD"/>
    <w:rsid w:val="005C0840"/>
    <w:rsid w:val="005C3832"/>
    <w:rsid w:val="005C49DE"/>
    <w:rsid w:val="005C4E70"/>
    <w:rsid w:val="005C5118"/>
    <w:rsid w:val="005D4C18"/>
    <w:rsid w:val="005D7BBD"/>
    <w:rsid w:val="005E075C"/>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65745"/>
    <w:rsid w:val="0067415E"/>
    <w:rsid w:val="00674A11"/>
    <w:rsid w:val="00682ED1"/>
    <w:rsid w:val="006865B4"/>
    <w:rsid w:val="00687986"/>
    <w:rsid w:val="00694AA3"/>
    <w:rsid w:val="006A1258"/>
    <w:rsid w:val="006A59D7"/>
    <w:rsid w:val="006A7149"/>
    <w:rsid w:val="006B5D74"/>
    <w:rsid w:val="006C1404"/>
    <w:rsid w:val="006C1A94"/>
    <w:rsid w:val="006D4211"/>
    <w:rsid w:val="006E4CB2"/>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E21E6"/>
    <w:rsid w:val="00800330"/>
    <w:rsid w:val="00801003"/>
    <w:rsid w:val="00811375"/>
    <w:rsid w:val="00813968"/>
    <w:rsid w:val="0081683A"/>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D527B"/>
    <w:rsid w:val="008E3DBF"/>
    <w:rsid w:val="00917D38"/>
    <w:rsid w:val="00921C73"/>
    <w:rsid w:val="009376F0"/>
    <w:rsid w:val="00944F55"/>
    <w:rsid w:val="00964163"/>
    <w:rsid w:val="00967599"/>
    <w:rsid w:val="00967BC0"/>
    <w:rsid w:val="0097281E"/>
    <w:rsid w:val="00973EB8"/>
    <w:rsid w:val="009774FF"/>
    <w:rsid w:val="009802A0"/>
    <w:rsid w:val="00992D4B"/>
    <w:rsid w:val="009A0276"/>
    <w:rsid w:val="009A14E3"/>
    <w:rsid w:val="009B6690"/>
    <w:rsid w:val="009C104C"/>
    <w:rsid w:val="009C107D"/>
    <w:rsid w:val="009D1B55"/>
    <w:rsid w:val="009D7D7E"/>
    <w:rsid w:val="009F5738"/>
    <w:rsid w:val="00A04073"/>
    <w:rsid w:val="00A106F0"/>
    <w:rsid w:val="00A26CA4"/>
    <w:rsid w:val="00A37248"/>
    <w:rsid w:val="00A535B7"/>
    <w:rsid w:val="00A53CEE"/>
    <w:rsid w:val="00A713E9"/>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24A1F"/>
    <w:rsid w:val="00B31E63"/>
    <w:rsid w:val="00B33B2C"/>
    <w:rsid w:val="00B37873"/>
    <w:rsid w:val="00B438AE"/>
    <w:rsid w:val="00B4697C"/>
    <w:rsid w:val="00B46F1A"/>
    <w:rsid w:val="00B50A17"/>
    <w:rsid w:val="00B54B15"/>
    <w:rsid w:val="00B54C64"/>
    <w:rsid w:val="00B6429D"/>
    <w:rsid w:val="00B65394"/>
    <w:rsid w:val="00B66EB0"/>
    <w:rsid w:val="00B70DAB"/>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57311"/>
    <w:rsid w:val="00C7394E"/>
    <w:rsid w:val="00C77FED"/>
    <w:rsid w:val="00C92727"/>
    <w:rsid w:val="00CA7845"/>
    <w:rsid w:val="00CB190A"/>
    <w:rsid w:val="00CB2F92"/>
    <w:rsid w:val="00CB49BF"/>
    <w:rsid w:val="00CB6A3B"/>
    <w:rsid w:val="00CC329C"/>
    <w:rsid w:val="00CC518F"/>
    <w:rsid w:val="00CD3DE0"/>
    <w:rsid w:val="00CD51F5"/>
    <w:rsid w:val="00CD5271"/>
    <w:rsid w:val="00CE6BD5"/>
    <w:rsid w:val="00CF2C4D"/>
    <w:rsid w:val="00CF62CD"/>
    <w:rsid w:val="00CF67BA"/>
    <w:rsid w:val="00CF69CE"/>
    <w:rsid w:val="00CF7049"/>
    <w:rsid w:val="00D0220D"/>
    <w:rsid w:val="00D025EB"/>
    <w:rsid w:val="00D050B8"/>
    <w:rsid w:val="00D06FE0"/>
    <w:rsid w:val="00D10EB1"/>
    <w:rsid w:val="00D20613"/>
    <w:rsid w:val="00D21602"/>
    <w:rsid w:val="00D27AF7"/>
    <w:rsid w:val="00D43BEE"/>
    <w:rsid w:val="00D50DC7"/>
    <w:rsid w:val="00D620DA"/>
    <w:rsid w:val="00D64941"/>
    <w:rsid w:val="00D64E17"/>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433C"/>
    <w:rsid w:val="00E5548F"/>
    <w:rsid w:val="00E640E1"/>
    <w:rsid w:val="00E64438"/>
    <w:rsid w:val="00E67F6D"/>
    <w:rsid w:val="00E702BF"/>
    <w:rsid w:val="00E721EE"/>
    <w:rsid w:val="00E8237D"/>
    <w:rsid w:val="00E92ED2"/>
    <w:rsid w:val="00E96256"/>
    <w:rsid w:val="00EA39A3"/>
    <w:rsid w:val="00EA52F5"/>
    <w:rsid w:val="00EB725E"/>
    <w:rsid w:val="00EC3FCC"/>
    <w:rsid w:val="00EC50C6"/>
    <w:rsid w:val="00EC56B0"/>
    <w:rsid w:val="00ED5B94"/>
    <w:rsid w:val="00EE5FD9"/>
    <w:rsid w:val="00EF335C"/>
    <w:rsid w:val="00EF4C9C"/>
    <w:rsid w:val="00EF5493"/>
    <w:rsid w:val="00EF6F3E"/>
    <w:rsid w:val="00F1397F"/>
    <w:rsid w:val="00F247E5"/>
    <w:rsid w:val="00F2693F"/>
    <w:rsid w:val="00F34F98"/>
    <w:rsid w:val="00F3541B"/>
    <w:rsid w:val="00F417D4"/>
    <w:rsid w:val="00F4200F"/>
    <w:rsid w:val="00F51A0B"/>
    <w:rsid w:val="00F610C0"/>
    <w:rsid w:val="00F61F05"/>
    <w:rsid w:val="00F64DC3"/>
    <w:rsid w:val="00F652F4"/>
    <w:rsid w:val="00F7134D"/>
    <w:rsid w:val="00F855EF"/>
    <w:rsid w:val="00F8751B"/>
    <w:rsid w:val="00F92BF2"/>
    <w:rsid w:val="00FA7C4B"/>
    <w:rsid w:val="00FB1053"/>
    <w:rsid w:val="00FB249F"/>
    <w:rsid w:val="00FC17C9"/>
    <w:rsid w:val="00FE06A2"/>
    <w:rsid w:val="00FE7781"/>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2.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3.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1378</Words>
  <Characters>7585</Characters>
  <Application>Microsoft Office Word</Application>
  <DocSecurity>0</DocSecurity>
  <PresentationFormat/>
  <Lines>63</Lines>
  <Paragraphs>17</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38</cp:revision>
  <cp:lastPrinted>2025-09-11T19:01:00Z</cp:lastPrinted>
  <dcterms:created xsi:type="dcterms:W3CDTF">2025-11-03T20:15:00Z</dcterms:created>
  <dcterms:modified xsi:type="dcterms:W3CDTF">2025-11-19T23:58:00Z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